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60" w:rsidRDefault="002F7E60"/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14"/>
      </w:tblGrid>
      <w:tr w:rsidR="00B50F5B" w:rsidRPr="00C728C0" w:rsidTr="003043A4">
        <w:trPr>
          <w:jc w:val="center"/>
        </w:trPr>
        <w:tc>
          <w:tcPr>
            <w:tcW w:w="10214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0A683C" w:rsidRDefault="002641AB" w:rsidP="000A683C">
            <w:pPr>
              <w:ind w:firstLine="205"/>
              <w:jc w:val="both"/>
              <w:rPr>
                <w:b/>
              </w:rPr>
            </w:pPr>
            <w:r w:rsidRPr="000A683C">
              <w:rPr>
                <w:b/>
              </w:rPr>
              <w:t>1. OBJETIVO</w:t>
            </w:r>
          </w:p>
          <w:p w:rsidR="002641AB" w:rsidRPr="00C728C0" w:rsidRDefault="002641AB" w:rsidP="000A683C">
            <w:pPr>
              <w:jc w:val="both"/>
            </w:pPr>
          </w:p>
          <w:p w:rsidR="006E22F9" w:rsidRPr="00C728C0" w:rsidRDefault="00756723" w:rsidP="000A683C">
            <w:pPr>
              <w:jc w:val="both"/>
            </w:pPr>
            <w:r w:rsidRPr="00C728C0">
              <w:t xml:space="preserve">El propósito de este procedimiento es describir una metodología para planificar y realizar </w:t>
            </w:r>
            <w:r w:rsidR="001156E1" w:rsidRPr="00C728C0">
              <w:t>auditorías</w:t>
            </w:r>
            <w:r w:rsidRPr="00C728C0">
              <w:t>, así como informar los resultados y hacer el seguimiento de ac</w:t>
            </w:r>
            <w:bookmarkStart w:id="0" w:name="_GoBack"/>
            <w:bookmarkEnd w:id="0"/>
            <w:r w:rsidRPr="00C728C0">
              <w:t>ciones tomadas durante las mismas.</w:t>
            </w:r>
          </w:p>
          <w:p w:rsidR="006E22F9" w:rsidRPr="00C728C0" w:rsidRDefault="006E22F9" w:rsidP="000A683C">
            <w:pPr>
              <w:jc w:val="both"/>
            </w:pPr>
          </w:p>
          <w:p w:rsidR="002641AB" w:rsidRPr="000A683C" w:rsidRDefault="002641AB" w:rsidP="002431FC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0A683C">
              <w:rPr>
                <w:b/>
              </w:rPr>
              <w:t>ALCANCE</w:t>
            </w:r>
          </w:p>
          <w:p w:rsidR="00756723" w:rsidRPr="000A683C" w:rsidRDefault="00756723" w:rsidP="000A683C">
            <w:pPr>
              <w:ind w:left="205"/>
              <w:jc w:val="both"/>
              <w:rPr>
                <w:b/>
              </w:rPr>
            </w:pPr>
          </w:p>
          <w:p w:rsidR="002641AB" w:rsidRPr="00C728C0" w:rsidRDefault="00756723" w:rsidP="000A683C">
            <w:pPr>
              <w:jc w:val="both"/>
            </w:pPr>
            <w:r w:rsidRPr="00C728C0">
              <w:t xml:space="preserve">El procedimiento se aplica a todas las </w:t>
            </w:r>
            <w:r w:rsidR="001156E1" w:rsidRPr="00C728C0">
              <w:t>auditorías</w:t>
            </w:r>
            <w:r w:rsidRPr="00C728C0">
              <w:t xml:space="preserve"> internas del SG</w:t>
            </w:r>
            <w:r w:rsidR="00757587" w:rsidRPr="00C728C0">
              <w:t>I</w:t>
            </w:r>
            <w:r w:rsidRPr="00C728C0">
              <w:t xml:space="preserve"> de Master Bus, realizadas por personal de la empresa o bien por personas que la empresa contrate para tal fin.</w:t>
            </w:r>
          </w:p>
          <w:p w:rsidR="00756723" w:rsidRPr="00C728C0" w:rsidRDefault="00756723" w:rsidP="000A683C">
            <w:pPr>
              <w:jc w:val="both"/>
            </w:pPr>
          </w:p>
          <w:p w:rsidR="002641AB" w:rsidRPr="000A683C" w:rsidRDefault="002641AB" w:rsidP="002431FC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0A683C">
              <w:rPr>
                <w:b/>
              </w:rPr>
              <w:t>REFERENCIAS</w:t>
            </w:r>
          </w:p>
          <w:p w:rsidR="0011516C" w:rsidRPr="000A683C" w:rsidRDefault="0011516C" w:rsidP="000A683C">
            <w:pPr>
              <w:ind w:left="205"/>
              <w:jc w:val="both"/>
              <w:rPr>
                <w:b/>
              </w:rPr>
            </w:pPr>
          </w:p>
          <w:p w:rsidR="002641AB" w:rsidRPr="002619B8" w:rsidRDefault="002619B8" w:rsidP="00914BC6">
            <w:pPr>
              <w:jc w:val="both"/>
            </w:pPr>
            <w:r w:rsidRPr="002619B8">
              <w:t xml:space="preserve">Capítulo </w:t>
            </w:r>
            <w:r w:rsidR="00914BC6" w:rsidRPr="002619B8">
              <w:t>12.2</w:t>
            </w:r>
            <w:r w:rsidR="0011516C" w:rsidRPr="002619B8">
              <w:t xml:space="preserve"> del </w:t>
            </w:r>
            <w:r w:rsidR="007328B0" w:rsidRPr="002619B8">
              <w:t>Manual de SGI.</w:t>
            </w:r>
          </w:p>
          <w:p w:rsidR="00DF2F87" w:rsidRPr="00C728C0" w:rsidRDefault="00DF2F87" w:rsidP="000A683C">
            <w:pPr>
              <w:jc w:val="both"/>
            </w:pPr>
          </w:p>
          <w:p w:rsidR="002641AB" w:rsidRPr="000A683C" w:rsidRDefault="002641AB" w:rsidP="000A683C">
            <w:pPr>
              <w:ind w:firstLine="205"/>
              <w:jc w:val="both"/>
              <w:rPr>
                <w:b/>
              </w:rPr>
            </w:pPr>
            <w:r w:rsidRPr="000A683C">
              <w:rPr>
                <w:b/>
              </w:rPr>
              <w:t>4. DEFINICIONES</w:t>
            </w:r>
          </w:p>
          <w:p w:rsidR="002641AB" w:rsidRPr="00C728C0" w:rsidRDefault="002641AB" w:rsidP="000A683C">
            <w:pPr>
              <w:jc w:val="both"/>
            </w:pPr>
          </w:p>
          <w:p w:rsidR="00E66460" w:rsidRDefault="00854C47" w:rsidP="00E66460">
            <w:pPr>
              <w:pStyle w:val="Prrafodelista"/>
              <w:numPr>
                <w:ilvl w:val="1"/>
                <w:numId w:val="10"/>
              </w:numPr>
              <w:ind w:left="5"/>
              <w:jc w:val="both"/>
            </w:pPr>
            <w:r w:rsidRPr="00A843D4">
              <w:t xml:space="preserve">Auditoria: </w:t>
            </w:r>
            <w:r w:rsidR="00914BC6" w:rsidRPr="00914BC6">
              <w:t>proceso sistemático, independiente y documentad</w:t>
            </w:r>
            <w:r w:rsidR="008B1E5E">
              <w:t xml:space="preserve">o para obtener evidencias de la </w:t>
            </w:r>
            <w:r w:rsidR="008B1E5E" w:rsidRPr="008B1E5E">
              <w:t>o</w:t>
            </w:r>
            <w:r w:rsidR="0091793D" w:rsidRPr="008B1E5E">
              <w:t>peración de la Empresa</w:t>
            </w:r>
            <w:r w:rsidR="00914BC6" w:rsidRPr="00914BC6">
              <w:t xml:space="preserve"> y evaluarlas de manera objetiva con el fin de determinar la </w:t>
            </w:r>
            <w:r w:rsidR="008B1E5E">
              <w:t>extensión en que se cumple lo exigidos y adoptado por la misma</w:t>
            </w:r>
            <w:r w:rsidR="009416FD">
              <w:t>.</w:t>
            </w:r>
            <w:r w:rsidR="0091793D">
              <w:t xml:space="preserve"> </w:t>
            </w:r>
          </w:p>
          <w:p w:rsidR="009416FD" w:rsidRPr="00C728C0" w:rsidRDefault="009416FD" w:rsidP="009416FD">
            <w:pPr>
              <w:pStyle w:val="Prrafodelista"/>
              <w:ind w:left="5"/>
              <w:jc w:val="both"/>
            </w:pPr>
          </w:p>
          <w:p w:rsidR="00854C47" w:rsidRPr="00C728C0" w:rsidRDefault="00854C47" w:rsidP="003043A4">
            <w:pPr>
              <w:pStyle w:val="Prrafodelista"/>
              <w:numPr>
                <w:ilvl w:val="1"/>
                <w:numId w:val="10"/>
              </w:numPr>
              <w:jc w:val="both"/>
            </w:pPr>
            <w:r w:rsidRPr="00C728C0">
              <w:t>Evidencia</w:t>
            </w:r>
            <w:r w:rsidR="009416FD">
              <w:t>s</w:t>
            </w:r>
            <w:r w:rsidRPr="00C728C0">
              <w:t>: Registros, declaraciones de hechos o cualquier otra informac</w:t>
            </w:r>
            <w:r w:rsidR="008B1E5E">
              <w:t>ión que es pertinente para validar el conocimiento de la operación de la Empresa.</w:t>
            </w:r>
          </w:p>
          <w:p w:rsidR="00757587" w:rsidRPr="00C728C0" w:rsidRDefault="00757587" w:rsidP="000A683C">
            <w:pPr>
              <w:ind w:left="5"/>
              <w:jc w:val="both"/>
            </w:pPr>
          </w:p>
          <w:p w:rsidR="00A81ABA" w:rsidRPr="00C728C0" w:rsidRDefault="00854C47" w:rsidP="003043A4">
            <w:pPr>
              <w:pStyle w:val="Prrafodelista"/>
              <w:numPr>
                <w:ilvl w:val="1"/>
                <w:numId w:val="10"/>
              </w:numPr>
              <w:jc w:val="both"/>
            </w:pPr>
            <w:r w:rsidRPr="00C728C0">
              <w:t>Criterios: Conjuntos de políticas, procedimientos, o requisitos</w:t>
            </w:r>
            <w:r w:rsidR="008B1E5E">
              <w:t xml:space="preserve"> (legales o que la Empresa adhiere)</w:t>
            </w:r>
            <w:r w:rsidRPr="00C728C0">
              <w:t xml:space="preserve"> utilizados como referencia.</w:t>
            </w:r>
          </w:p>
          <w:p w:rsidR="00854C47" w:rsidRPr="00C728C0" w:rsidRDefault="00854C47" w:rsidP="000A683C">
            <w:pPr>
              <w:jc w:val="both"/>
            </w:pPr>
          </w:p>
          <w:p w:rsidR="002641AB" w:rsidRPr="000A683C" w:rsidRDefault="002641AB" w:rsidP="000A683C">
            <w:pPr>
              <w:ind w:firstLine="205"/>
              <w:jc w:val="both"/>
              <w:rPr>
                <w:b/>
              </w:rPr>
            </w:pPr>
            <w:r w:rsidRPr="000A683C">
              <w:rPr>
                <w:b/>
              </w:rPr>
              <w:t>5. ABREVIATURAS</w:t>
            </w:r>
          </w:p>
          <w:p w:rsidR="002641AB" w:rsidRPr="00C728C0" w:rsidRDefault="002641AB" w:rsidP="000A683C">
            <w:pPr>
              <w:jc w:val="both"/>
            </w:pPr>
          </w:p>
          <w:p w:rsidR="00854C47" w:rsidRPr="00C728C0" w:rsidRDefault="00854C47" w:rsidP="003043A4">
            <w:pPr>
              <w:pStyle w:val="Prrafodelista"/>
              <w:numPr>
                <w:ilvl w:val="1"/>
                <w:numId w:val="13"/>
              </w:numPr>
              <w:ind w:left="611"/>
              <w:jc w:val="both"/>
            </w:pPr>
            <w:r w:rsidRPr="00C728C0">
              <w:t>REDI: Representante de la Dirección</w:t>
            </w:r>
          </w:p>
          <w:p w:rsidR="00757587" w:rsidRPr="00C728C0" w:rsidRDefault="00757587" w:rsidP="003043A4">
            <w:pPr>
              <w:pStyle w:val="Prrafodelista"/>
              <w:numPr>
                <w:ilvl w:val="1"/>
                <w:numId w:val="13"/>
              </w:numPr>
              <w:ind w:left="606"/>
              <w:jc w:val="both"/>
            </w:pPr>
            <w:r w:rsidRPr="00C728C0">
              <w:t xml:space="preserve">SGI: </w:t>
            </w:r>
            <w:r w:rsidR="00430FB8">
              <w:t>Sistema de Gestión Integrado</w:t>
            </w:r>
          </w:p>
          <w:p w:rsidR="00854C47" w:rsidRPr="00C728C0" w:rsidRDefault="00854C47" w:rsidP="000A683C">
            <w:pPr>
              <w:jc w:val="both"/>
            </w:pPr>
          </w:p>
          <w:p w:rsidR="002641AB" w:rsidRPr="000A683C" w:rsidRDefault="002641AB" w:rsidP="000A683C">
            <w:pPr>
              <w:ind w:firstLine="205"/>
              <w:jc w:val="both"/>
              <w:rPr>
                <w:b/>
              </w:rPr>
            </w:pPr>
            <w:r w:rsidRPr="000A683C">
              <w:rPr>
                <w:b/>
              </w:rPr>
              <w:t>6. RESPONSABILIDADES</w:t>
            </w:r>
          </w:p>
          <w:p w:rsidR="00854C47" w:rsidRPr="000A683C" w:rsidRDefault="00854C47" w:rsidP="000A683C">
            <w:pPr>
              <w:ind w:firstLine="205"/>
              <w:jc w:val="both"/>
              <w:rPr>
                <w:b/>
              </w:rPr>
            </w:pPr>
          </w:p>
          <w:p w:rsidR="00854C47" w:rsidRPr="00C728C0" w:rsidRDefault="00854C47" w:rsidP="000A683C">
            <w:pPr>
              <w:jc w:val="both"/>
            </w:pPr>
            <w:r w:rsidRPr="00C728C0">
              <w:t>REDI</w:t>
            </w:r>
            <w:r w:rsidR="003043A4">
              <w:t xml:space="preserve"> (P-02)</w:t>
            </w:r>
            <w:r w:rsidRPr="00C728C0">
              <w:t xml:space="preserve"> es quién realiza la planificación anual de auditorías del SG</w:t>
            </w:r>
            <w:r w:rsidR="00757587" w:rsidRPr="00C728C0">
              <w:t>I</w:t>
            </w:r>
            <w:r w:rsidRPr="00C728C0">
              <w:t>, la cual es evaluada y aprobada por el Gerente</w:t>
            </w:r>
            <w:r w:rsidR="00E66460">
              <w:t xml:space="preserve"> (P-01)</w:t>
            </w:r>
            <w:r w:rsidRPr="00C728C0">
              <w:t>.</w:t>
            </w:r>
          </w:p>
          <w:p w:rsidR="003043A4" w:rsidRDefault="003043A4" w:rsidP="006E5367">
            <w:pPr>
              <w:jc w:val="both"/>
            </w:pPr>
          </w:p>
          <w:p w:rsidR="006E5367" w:rsidRPr="003043A4" w:rsidRDefault="007911CB" w:rsidP="006E5367">
            <w:pPr>
              <w:jc w:val="both"/>
            </w:pPr>
            <w:r>
              <w:t>El REDI j</w:t>
            </w:r>
            <w:r w:rsidR="003043A4">
              <w:t>unto al</w:t>
            </w:r>
            <w:r w:rsidR="006E5367" w:rsidRPr="003043A4">
              <w:t xml:space="preserve"> </w:t>
            </w:r>
            <w:r w:rsidR="003043A4">
              <w:t>Auditor Interno (P-06)</w:t>
            </w:r>
            <w:r w:rsidR="006E5367" w:rsidRPr="003043A4">
              <w:t xml:space="preserve"> deberán:</w:t>
            </w:r>
          </w:p>
          <w:p w:rsidR="001C31CA" w:rsidRPr="00C728C0" w:rsidRDefault="001C31CA" w:rsidP="000A683C">
            <w:pPr>
              <w:jc w:val="both"/>
            </w:pPr>
          </w:p>
          <w:p w:rsidR="001C31CA" w:rsidRPr="00C728C0" w:rsidRDefault="001C31CA" w:rsidP="003043A4">
            <w:pPr>
              <w:numPr>
                <w:ilvl w:val="0"/>
                <w:numId w:val="11"/>
              </w:numPr>
              <w:jc w:val="both"/>
            </w:pPr>
            <w:r w:rsidRPr="00C728C0">
              <w:t>Seleccionar a un equipo de auditores internos entre el personal de la empresa</w:t>
            </w:r>
            <w:r w:rsidR="00E66460">
              <w:t>.</w:t>
            </w:r>
          </w:p>
          <w:p w:rsidR="00BD30DF" w:rsidRPr="00C728C0" w:rsidRDefault="001C31CA" w:rsidP="003043A4">
            <w:pPr>
              <w:numPr>
                <w:ilvl w:val="0"/>
                <w:numId w:val="11"/>
              </w:numPr>
              <w:jc w:val="both"/>
            </w:pPr>
            <w:r w:rsidRPr="00C728C0">
              <w:t>Comunicar a los auditados, con s</w:t>
            </w:r>
            <w:r w:rsidR="006E5367">
              <w:t>uficiente antelación, la realiza</w:t>
            </w:r>
            <w:r w:rsidRPr="00C728C0">
              <w:t>ción de la auditoría</w:t>
            </w:r>
            <w:r w:rsidR="00E66460">
              <w:t>.</w:t>
            </w:r>
          </w:p>
          <w:p w:rsidR="00BD30DF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Dirigir las tareas de planificación y preparación de la auditoría</w:t>
            </w:r>
            <w:r w:rsidR="00E66460">
              <w:t>.</w:t>
            </w:r>
          </w:p>
          <w:p w:rsidR="00BD30DF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Representar el equipo auditor ante la gerencia</w:t>
            </w:r>
            <w:r w:rsidR="00E66460">
              <w:t>.</w:t>
            </w:r>
          </w:p>
          <w:p w:rsidR="00BD30DF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lastRenderedPageBreak/>
              <w:t>Presentar el informe de la auditoria</w:t>
            </w:r>
            <w:r w:rsidR="00E66460">
              <w:t>.</w:t>
            </w:r>
            <w:r w:rsidRPr="00C728C0">
              <w:t xml:space="preserve"> </w:t>
            </w:r>
          </w:p>
          <w:p w:rsidR="0044225C" w:rsidRPr="00C728C0" w:rsidRDefault="0044225C" w:rsidP="0044225C">
            <w:pPr>
              <w:ind w:left="789"/>
              <w:jc w:val="both"/>
            </w:pPr>
          </w:p>
          <w:p w:rsidR="001C31CA" w:rsidRPr="000A683C" w:rsidRDefault="001C31CA" w:rsidP="000A683C">
            <w:pPr>
              <w:jc w:val="both"/>
              <w:rPr>
                <w:b/>
              </w:rPr>
            </w:pPr>
          </w:p>
          <w:p w:rsidR="00BD30DF" w:rsidRPr="000A683C" w:rsidRDefault="00BD30DF" w:rsidP="000A683C">
            <w:pPr>
              <w:ind w:firstLine="545"/>
              <w:jc w:val="both"/>
              <w:rPr>
                <w:b/>
              </w:rPr>
            </w:pPr>
            <w:r w:rsidRPr="000A683C">
              <w:rPr>
                <w:b/>
              </w:rPr>
              <w:t>6.</w:t>
            </w:r>
            <w:r w:rsidR="006E5367">
              <w:rPr>
                <w:b/>
              </w:rPr>
              <w:t>1</w:t>
            </w:r>
            <w:r w:rsidRPr="000A683C">
              <w:rPr>
                <w:b/>
              </w:rPr>
              <w:t xml:space="preserve">  Los Auditores</w:t>
            </w:r>
          </w:p>
          <w:p w:rsidR="00BD30DF" w:rsidRPr="00C728C0" w:rsidRDefault="00BD30DF" w:rsidP="000A683C">
            <w:pPr>
              <w:jc w:val="both"/>
            </w:pPr>
          </w:p>
          <w:p w:rsidR="00BD30DF" w:rsidRPr="00C728C0" w:rsidRDefault="00BD30DF" w:rsidP="000A683C">
            <w:pPr>
              <w:jc w:val="both"/>
            </w:pPr>
            <w:r w:rsidRPr="00C728C0">
              <w:t>El Auditor o Auditores tienen las siguientes responsabilidades:</w:t>
            </w:r>
          </w:p>
          <w:p w:rsidR="00BD30DF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Clarificar a los auditados los motivos y circunstancias de la auditoría</w:t>
            </w:r>
            <w:r w:rsidR="00E66460">
              <w:t>.</w:t>
            </w:r>
          </w:p>
          <w:p w:rsidR="00BD30DF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Anotar todas las observaciones relevantes del área auditada, y conservar copias de los documentos que las respaldan</w:t>
            </w:r>
            <w:r w:rsidR="00E66460">
              <w:t>.</w:t>
            </w:r>
          </w:p>
          <w:p w:rsidR="00BD30DF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Ser objetivo, imparcial y justo en sus apreciaciones</w:t>
            </w:r>
            <w:r w:rsidR="00E66460">
              <w:t>.</w:t>
            </w:r>
          </w:p>
          <w:p w:rsidR="00BD30DF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 xml:space="preserve">Colaborar con el auditor </w:t>
            </w:r>
            <w:r w:rsidR="00823579" w:rsidRPr="00C728C0">
              <w:t>líder</w:t>
            </w:r>
            <w:r w:rsidRPr="00C728C0">
              <w:t xml:space="preserve"> en todo lo necesario para asegurar el éxito de la auditoria.</w:t>
            </w:r>
          </w:p>
          <w:p w:rsidR="00BD30DF" w:rsidRDefault="00BD30DF" w:rsidP="000A683C">
            <w:pPr>
              <w:jc w:val="both"/>
            </w:pPr>
          </w:p>
          <w:p w:rsidR="00C206FB" w:rsidRPr="00C728C0" w:rsidRDefault="00C206FB" w:rsidP="000A683C">
            <w:pPr>
              <w:jc w:val="both"/>
            </w:pPr>
          </w:p>
          <w:p w:rsidR="00BD30DF" w:rsidRPr="000A683C" w:rsidRDefault="00BD30DF" w:rsidP="000A683C">
            <w:pPr>
              <w:ind w:firstLine="545"/>
              <w:jc w:val="both"/>
              <w:rPr>
                <w:b/>
              </w:rPr>
            </w:pPr>
            <w:r w:rsidRPr="000A683C">
              <w:rPr>
                <w:b/>
              </w:rPr>
              <w:t>6.</w:t>
            </w:r>
            <w:r w:rsidR="006E5367">
              <w:rPr>
                <w:b/>
              </w:rPr>
              <w:t>2</w:t>
            </w:r>
            <w:r w:rsidRPr="000A683C">
              <w:rPr>
                <w:b/>
              </w:rPr>
              <w:t xml:space="preserve">  El Auditado</w:t>
            </w:r>
          </w:p>
          <w:p w:rsidR="00BD30DF" w:rsidRPr="00C728C0" w:rsidRDefault="00BD30DF" w:rsidP="000A683C">
            <w:pPr>
              <w:jc w:val="both"/>
            </w:pPr>
          </w:p>
          <w:p w:rsidR="00BD30DF" w:rsidRPr="00C728C0" w:rsidRDefault="00BD30DF" w:rsidP="000A683C">
            <w:pPr>
              <w:jc w:val="both"/>
            </w:pPr>
            <w:r w:rsidRPr="00C728C0">
              <w:t>Las responsabilidade</w:t>
            </w:r>
            <w:r w:rsidR="00E66460">
              <w:t>s del auditado (responsable del sector</w:t>
            </w:r>
            <w:r w:rsidRPr="00C728C0">
              <w:t xml:space="preserve"> objeto de </w:t>
            </w:r>
            <w:r w:rsidR="001156E1" w:rsidRPr="00C728C0">
              <w:t>auditoría</w:t>
            </w:r>
            <w:r w:rsidRPr="00C728C0">
              <w:t>) son las siguientes:</w:t>
            </w:r>
          </w:p>
          <w:p w:rsidR="00BD30DF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Poner a disposición del equipo auditor los medios necesarios par a la auditoria</w:t>
            </w:r>
            <w:r w:rsidR="00E66460">
              <w:t>.</w:t>
            </w:r>
          </w:p>
          <w:p w:rsidR="00BD30DF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Facilitar el acceso a las instalaciones y documentos relevantes para la auditoria</w:t>
            </w:r>
            <w:r w:rsidR="00E66460">
              <w:t>.</w:t>
            </w:r>
          </w:p>
          <w:p w:rsidR="00BD30DF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Cooperar con los auditores para asegurar el éxito de la auditoría</w:t>
            </w:r>
            <w:r w:rsidR="00E66460">
              <w:t>.</w:t>
            </w:r>
          </w:p>
          <w:p w:rsidR="00984EEA" w:rsidRPr="00C728C0" w:rsidRDefault="00BD30DF" w:rsidP="003043A4">
            <w:pPr>
              <w:numPr>
                <w:ilvl w:val="0"/>
                <w:numId w:val="11"/>
              </w:numPr>
              <w:jc w:val="both"/>
            </w:pPr>
            <w:r w:rsidRPr="00C728C0">
              <w:t>Asegurar que se ponen en marcha sin demora las acciones correctivas para eliminar las causas de las no conformidades identificadas en el informe de auditoría</w:t>
            </w:r>
            <w:r w:rsidR="000A78FD" w:rsidRPr="00C728C0">
              <w:t>.</w:t>
            </w:r>
          </w:p>
          <w:p w:rsidR="00854C47" w:rsidRPr="00C728C0" w:rsidRDefault="00854C47" w:rsidP="000A683C">
            <w:pPr>
              <w:jc w:val="both"/>
            </w:pPr>
          </w:p>
          <w:p w:rsidR="002641AB" w:rsidRPr="000A683C" w:rsidRDefault="002641AB" w:rsidP="000A683C">
            <w:pPr>
              <w:ind w:firstLine="205"/>
              <w:jc w:val="both"/>
              <w:rPr>
                <w:b/>
              </w:rPr>
            </w:pPr>
            <w:r w:rsidRPr="000A683C">
              <w:rPr>
                <w:b/>
              </w:rPr>
              <w:t>7. DESARROLLO</w:t>
            </w:r>
          </w:p>
          <w:p w:rsidR="00407BB6" w:rsidRPr="00C728C0" w:rsidRDefault="00407BB6" w:rsidP="000A683C">
            <w:pPr>
              <w:jc w:val="both"/>
            </w:pPr>
          </w:p>
          <w:p w:rsidR="000A78FD" w:rsidRPr="000A683C" w:rsidRDefault="000A78FD" w:rsidP="000A683C">
            <w:pPr>
              <w:ind w:firstLine="545"/>
              <w:jc w:val="both"/>
              <w:rPr>
                <w:b/>
              </w:rPr>
            </w:pPr>
            <w:r w:rsidRPr="000A683C">
              <w:rPr>
                <w:b/>
              </w:rPr>
              <w:t>7.1</w:t>
            </w:r>
            <w:r w:rsidR="00E66460">
              <w:rPr>
                <w:b/>
              </w:rPr>
              <w:t xml:space="preserve">  Programación A</w:t>
            </w:r>
            <w:r w:rsidRPr="000A683C">
              <w:rPr>
                <w:b/>
              </w:rPr>
              <w:t>nual de Auditorias</w:t>
            </w:r>
          </w:p>
          <w:p w:rsidR="008D19F5" w:rsidRPr="00C728C0" w:rsidRDefault="008D19F5" w:rsidP="000A683C">
            <w:pPr>
              <w:jc w:val="both"/>
            </w:pPr>
          </w:p>
          <w:p w:rsidR="00D16FF9" w:rsidRDefault="000A78FD" w:rsidP="000A683C">
            <w:pPr>
              <w:jc w:val="both"/>
            </w:pPr>
            <w:r w:rsidRPr="00C728C0">
              <w:t>REDI pr</w:t>
            </w:r>
            <w:r w:rsidR="008D19F5" w:rsidRPr="00C728C0">
              <w:t xml:space="preserve">ograma las </w:t>
            </w:r>
            <w:r w:rsidR="001156E1" w:rsidRPr="00C728C0">
              <w:t>auditorías</w:t>
            </w:r>
            <w:r w:rsidR="008D19F5" w:rsidRPr="00C728C0">
              <w:t xml:space="preserve"> internas de todos los procesos de Masterbus</w:t>
            </w:r>
            <w:r w:rsidRPr="00C728C0">
              <w:t xml:space="preserve"> antes del inicio de año</w:t>
            </w:r>
            <w:r w:rsidR="008D19F5" w:rsidRPr="00C728C0">
              <w:t>, en conjunto con las demás actividades del SG</w:t>
            </w:r>
            <w:r w:rsidR="00757587" w:rsidRPr="00C728C0">
              <w:t>I</w:t>
            </w:r>
            <w:r w:rsidR="008D19F5" w:rsidRPr="00C728C0">
              <w:t xml:space="preserve">, </w:t>
            </w:r>
            <w:r w:rsidR="00D16FF9" w:rsidRPr="00C728C0">
              <w:t xml:space="preserve"> </w:t>
            </w:r>
            <w:r w:rsidRPr="00C728C0">
              <w:t xml:space="preserve">teniendo en cuenta </w:t>
            </w:r>
            <w:r w:rsidR="00D16FF9" w:rsidRPr="00C728C0">
              <w:t>que</w:t>
            </w:r>
            <w:r w:rsidRPr="00C728C0">
              <w:t xml:space="preserve"> </w:t>
            </w:r>
            <w:r w:rsidR="00EB5BF8" w:rsidRPr="00C728C0">
              <w:t xml:space="preserve">todos </w:t>
            </w:r>
            <w:r w:rsidRPr="00C728C0">
              <w:t>los procesos de la empresa</w:t>
            </w:r>
            <w:r w:rsidR="00D16FF9" w:rsidRPr="00C728C0">
              <w:t xml:space="preserve"> serán </w:t>
            </w:r>
            <w:r w:rsidR="00DF5537" w:rsidRPr="00C728C0">
              <w:t>auditados al menos una vez por año.</w:t>
            </w:r>
            <w:r w:rsidR="008D19F5" w:rsidRPr="00C728C0">
              <w:t xml:space="preserve"> Esto queda registrado en </w:t>
            </w:r>
            <w:r w:rsidR="005E689E" w:rsidRPr="005E689E">
              <w:t xml:space="preserve">FORM.018 </w:t>
            </w:r>
            <w:r w:rsidR="00066D74">
              <w:t>PROGRAMACIÓN</w:t>
            </w:r>
            <w:r w:rsidR="000A032E">
              <w:t xml:space="preserve"> ANUAL DE AUDITORIAS.</w:t>
            </w:r>
          </w:p>
          <w:p w:rsidR="005E689E" w:rsidRPr="00C728C0" w:rsidRDefault="005E689E" w:rsidP="000A683C">
            <w:pPr>
              <w:jc w:val="both"/>
            </w:pPr>
          </w:p>
          <w:p w:rsidR="000A78FD" w:rsidRPr="00C728C0" w:rsidRDefault="008D19F5" w:rsidP="000A683C">
            <w:pPr>
              <w:jc w:val="both"/>
            </w:pPr>
            <w:r w:rsidRPr="00C728C0">
              <w:t>Al momento de designar e</w:t>
            </w:r>
            <w:r w:rsidR="000A78FD" w:rsidRPr="00C728C0">
              <w:t xml:space="preserve">l Auditor Líder para cada auditoria, </w:t>
            </w:r>
            <w:r w:rsidRPr="00C728C0">
              <w:t>se toma en cuenta</w:t>
            </w:r>
            <w:r w:rsidR="000A78FD" w:rsidRPr="00C728C0">
              <w:t xml:space="preserve"> su imparcialidad y objet</w:t>
            </w:r>
            <w:r w:rsidRPr="00C728C0">
              <w:t>ividad,</w:t>
            </w:r>
            <w:r w:rsidR="000A78FD" w:rsidRPr="00C728C0">
              <w:t xml:space="preserve"> asumiendo que un auditor no puede en ningún caso auditar su propio trabajo. </w:t>
            </w:r>
          </w:p>
          <w:p w:rsidR="008D19F5" w:rsidRPr="00C728C0" w:rsidRDefault="008D19F5" w:rsidP="000A683C">
            <w:pPr>
              <w:jc w:val="both"/>
            </w:pPr>
          </w:p>
          <w:p w:rsidR="000A78FD" w:rsidRPr="00C728C0" w:rsidRDefault="000A78FD" w:rsidP="000A683C">
            <w:pPr>
              <w:jc w:val="both"/>
            </w:pPr>
            <w:r w:rsidRPr="00C728C0">
              <w:t xml:space="preserve">Las </w:t>
            </w:r>
            <w:r w:rsidR="001156E1" w:rsidRPr="00C728C0">
              <w:t>auditorías</w:t>
            </w:r>
            <w:r w:rsidRPr="00C728C0">
              <w:t xml:space="preserve"> internas son realizadas por personal de Masterbus o por auditores externos calificados para realizar esta función. </w:t>
            </w:r>
          </w:p>
          <w:p w:rsidR="000A78FD" w:rsidRPr="00C728C0" w:rsidRDefault="000A78FD" w:rsidP="000A683C">
            <w:pPr>
              <w:jc w:val="both"/>
            </w:pPr>
          </w:p>
          <w:p w:rsidR="001C31CA" w:rsidRPr="00C728C0" w:rsidRDefault="000A78FD" w:rsidP="000A683C">
            <w:pPr>
              <w:jc w:val="both"/>
            </w:pPr>
            <w:r w:rsidRPr="00C728C0">
              <w:t xml:space="preserve">Cuando se trate de personal propio, la Dirección es la encargada de designar el personal que será capacitado para realizar </w:t>
            </w:r>
            <w:r w:rsidR="001156E1" w:rsidRPr="00C728C0">
              <w:t>Auditorías</w:t>
            </w:r>
            <w:r w:rsidRPr="00C728C0">
              <w:t xml:space="preserve"> Internas, quienes serán entrenados para tal fin.</w:t>
            </w:r>
          </w:p>
          <w:p w:rsidR="00430FB8" w:rsidRPr="000A683C" w:rsidRDefault="00430FB8" w:rsidP="000A683C">
            <w:pPr>
              <w:jc w:val="both"/>
              <w:rPr>
                <w:b/>
              </w:rPr>
            </w:pPr>
          </w:p>
          <w:p w:rsidR="000A78FD" w:rsidRPr="000A683C" w:rsidRDefault="000A78FD" w:rsidP="000A683C">
            <w:pPr>
              <w:ind w:firstLine="545"/>
              <w:jc w:val="both"/>
              <w:rPr>
                <w:b/>
              </w:rPr>
            </w:pPr>
            <w:r w:rsidRPr="000A683C">
              <w:rPr>
                <w:b/>
              </w:rPr>
              <w:t>7.2 Comunicación a los auditados</w:t>
            </w:r>
          </w:p>
          <w:p w:rsidR="000A78FD" w:rsidRPr="00C728C0" w:rsidRDefault="000A78FD" w:rsidP="000A683C">
            <w:pPr>
              <w:jc w:val="both"/>
            </w:pPr>
          </w:p>
          <w:p w:rsidR="000A78FD" w:rsidRDefault="00A843D4" w:rsidP="000A683C">
            <w:pPr>
              <w:jc w:val="both"/>
            </w:pPr>
            <w:r>
              <w:t>Con antelación</w:t>
            </w:r>
            <w:r w:rsidR="000A78FD" w:rsidRPr="00C728C0">
              <w:t>, el Auditor Líder debe con</w:t>
            </w:r>
            <w:r w:rsidR="004B6E56">
              <w:t>sensuar con el Responsable del S</w:t>
            </w:r>
            <w:r w:rsidR="000A78FD" w:rsidRPr="00C728C0">
              <w:t xml:space="preserve">ector a auditar la fecha y hora exacta de la misma y luego enviar una comunicación formal </w:t>
            </w:r>
            <w:r w:rsidR="000A78FD" w:rsidRPr="00A843D4">
              <w:t>(vía mail por ejemplo)</w:t>
            </w:r>
            <w:r w:rsidR="000A78FD" w:rsidRPr="00C728C0">
              <w:t xml:space="preserve"> a todos los involucrados.</w:t>
            </w:r>
          </w:p>
          <w:p w:rsidR="000A78FD" w:rsidRPr="00C728C0" w:rsidRDefault="000A78FD" w:rsidP="000A683C">
            <w:pPr>
              <w:jc w:val="both"/>
            </w:pPr>
          </w:p>
          <w:p w:rsidR="00C728C0" w:rsidRDefault="00C728C0" w:rsidP="00430FB8">
            <w:pPr>
              <w:jc w:val="both"/>
              <w:rPr>
                <w:b/>
              </w:rPr>
            </w:pPr>
          </w:p>
          <w:p w:rsidR="0044225C" w:rsidRDefault="0044225C" w:rsidP="00430FB8">
            <w:pPr>
              <w:jc w:val="both"/>
              <w:rPr>
                <w:b/>
              </w:rPr>
            </w:pPr>
          </w:p>
          <w:p w:rsidR="0044225C" w:rsidRDefault="0044225C" w:rsidP="00430FB8">
            <w:pPr>
              <w:jc w:val="both"/>
              <w:rPr>
                <w:b/>
              </w:rPr>
            </w:pPr>
          </w:p>
          <w:p w:rsidR="0044225C" w:rsidRDefault="0044225C" w:rsidP="00430FB8">
            <w:pPr>
              <w:jc w:val="both"/>
              <w:rPr>
                <w:b/>
              </w:rPr>
            </w:pPr>
          </w:p>
          <w:p w:rsidR="00430FB8" w:rsidRDefault="00430FB8" w:rsidP="00430FB8">
            <w:pPr>
              <w:jc w:val="both"/>
              <w:rPr>
                <w:b/>
              </w:rPr>
            </w:pPr>
          </w:p>
          <w:p w:rsidR="00430FB8" w:rsidRDefault="00430FB8" w:rsidP="00430FB8">
            <w:pPr>
              <w:jc w:val="both"/>
              <w:rPr>
                <w:b/>
              </w:rPr>
            </w:pPr>
          </w:p>
          <w:p w:rsidR="000A78FD" w:rsidRPr="000A683C" w:rsidRDefault="000A78FD" w:rsidP="000A683C">
            <w:pPr>
              <w:ind w:firstLine="545"/>
              <w:jc w:val="both"/>
              <w:rPr>
                <w:b/>
              </w:rPr>
            </w:pPr>
            <w:r w:rsidRPr="000A683C">
              <w:rPr>
                <w:b/>
              </w:rPr>
              <w:t>7.3 Planificación de la Auditoría</w:t>
            </w:r>
          </w:p>
          <w:p w:rsidR="000A78FD" w:rsidRPr="00C728C0" w:rsidRDefault="000A78FD" w:rsidP="000A683C">
            <w:pPr>
              <w:jc w:val="both"/>
            </w:pPr>
          </w:p>
          <w:p w:rsidR="000A78FD" w:rsidRPr="00C728C0" w:rsidRDefault="000A78FD" w:rsidP="000A683C">
            <w:pPr>
              <w:jc w:val="both"/>
            </w:pPr>
            <w:r w:rsidRPr="00C728C0">
              <w:t>En esta etapa el Auditor Líder nombra a los auditores, el tiempo de proceso y la cantidad de auditores necesarios para cada área. Se seleccionan los procedimientos,</w:t>
            </w:r>
            <w:r w:rsidR="003043A4">
              <w:t xml:space="preserve"> documentos, servicios, propios </w:t>
            </w:r>
            <w:r w:rsidRPr="00C728C0">
              <w:t xml:space="preserve">de cada área donde parezca conveniente incidir. Además, se revisan informes de </w:t>
            </w:r>
            <w:r w:rsidR="00FB4691" w:rsidRPr="00C728C0">
              <w:t>auditorías</w:t>
            </w:r>
            <w:r w:rsidRPr="00C728C0">
              <w:t xml:space="preserve"> anteriores y se consultan con la Dirección si requiere la revisión particular de algún requisito o actividad.</w:t>
            </w:r>
          </w:p>
          <w:p w:rsidR="000A78FD" w:rsidRPr="00C728C0" w:rsidRDefault="000A78FD" w:rsidP="000A683C">
            <w:pPr>
              <w:jc w:val="both"/>
            </w:pPr>
          </w:p>
          <w:p w:rsidR="000A78FD" w:rsidRPr="000A683C" w:rsidRDefault="000A78FD" w:rsidP="000A683C">
            <w:pPr>
              <w:ind w:firstLine="545"/>
              <w:jc w:val="both"/>
              <w:rPr>
                <w:b/>
              </w:rPr>
            </w:pPr>
            <w:r w:rsidRPr="000A683C">
              <w:rPr>
                <w:b/>
              </w:rPr>
              <w:t xml:space="preserve">7.4  Resultados de </w:t>
            </w:r>
            <w:smartTag w:uri="urn:schemas-microsoft-com:office:smarttags" w:element="PersonName">
              <w:smartTagPr>
                <w:attr w:name="ProductID" w:val="la Auditor￭a"/>
              </w:smartTagPr>
              <w:r w:rsidRPr="000A683C">
                <w:rPr>
                  <w:b/>
                </w:rPr>
                <w:t>la Auditoría</w:t>
              </w:r>
            </w:smartTag>
          </w:p>
          <w:p w:rsidR="000A78FD" w:rsidRPr="00C728C0" w:rsidRDefault="000A78FD" w:rsidP="000A683C">
            <w:pPr>
              <w:jc w:val="both"/>
            </w:pPr>
          </w:p>
          <w:p w:rsidR="000A78FD" w:rsidRPr="00C728C0" w:rsidRDefault="000A78FD" w:rsidP="000A683C">
            <w:pPr>
              <w:jc w:val="both"/>
            </w:pPr>
            <w:r w:rsidRPr="00C728C0">
              <w:t xml:space="preserve">El Auditor Líder entrega el Informe FORM.010 INFORME DE AUDITORIA INTERNA a REDI, donde constan los requisitos y actividades auditadas, los desvíos hallados y las </w:t>
            </w:r>
            <w:r w:rsidRPr="000C1932">
              <w:t>observaciones.</w:t>
            </w:r>
          </w:p>
          <w:p w:rsidR="006E22F9" w:rsidRPr="00C728C0" w:rsidRDefault="000A78FD" w:rsidP="000A683C">
            <w:pPr>
              <w:jc w:val="both"/>
            </w:pPr>
            <w:r w:rsidRPr="00C728C0">
              <w:t xml:space="preserve">REDI emite y </w:t>
            </w:r>
            <w:r w:rsidR="004B6E56">
              <w:t>entrega al Responsable de cada S</w:t>
            </w:r>
            <w:r w:rsidRPr="00C728C0">
              <w:t>ector auditado las Acciones Correctivas correspondientes,</w:t>
            </w:r>
            <w:r w:rsidR="00A843D4">
              <w:t xml:space="preserve"> a través del  </w:t>
            </w:r>
            <w:r w:rsidR="00B20D20" w:rsidRPr="00B20D20">
              <w:t>NO CONFORMIDADES</w:t>
            </w:r>
            <w:r w:rsidR="00A843D4">
              <w:t>,</w:t>
            </w:r>
            <w:r w:rsidRPr="00C728C0">
              <w:t xml:space="preserve"> y pone a disposición el informe entregado por el auditor.    </w:t>
            </w:r>
          </w:p>
          <w:p w:rsidR="000A78FD" w:rsidRPr="00C728C0" w:rsidRDefault="000A78FD" w:rsidP="000A683C">
            <w:pPr>
              <w:jc w:val="both"/>
            </w:pPr>
          </w:p>
          <w:p w:rsidR="002641AB" w:rsidRPr="000C2A2E" w:rsidRDefault="004E6DF4" w:rsidP="000A683C">
            <w:pPr>
              <w:ind w:firstLine="205"/>
              <w:jc w:val="both"/>
              <w:rPr>
                <w:b/>
                <w:lang w:val="pt-BR"/>
              </w:rPr>
            </w:pPr>
            <w:r w:rsidRPr="000C2A2E">
              <w:rPr>
                <w:b/>
                <w:lang w:val="pt-BR"/>
              </w:rPr>
              <w:t>8</w:t>
            </w:r>
            <w:r w:rsidR="002641AB" w:rsidRPr="000C2A2E">
              <w:rPr>
                <w:b/>
                <w:lang w:val="pt-BR"/>
              </w:rPr>
              <w:t>. REGISTROS ASOCIADOS</w:t>
            </w:r>
          </w:p>
          <w:p w:rsidR="002641AB" w:rsidRPr="000C2A2E" w:rsidRDefault="002641AB" w:rsidP="000A683C">
            <w:pPr>
              <w:jc w:val="both"/>
              <w:rPr>
                <w:lang w:val="pt-BR"/>
              </w:rPr>
            </w:pPr>
          </w:p>
          <w:p w:rsidR="005F1BFF" w:rsidRPr="000C2A2E" w:rsidRDefault="00AC7AA8" w:rsidP="000A683C">
            <w:pPr>
              <w:jc w:val="both"/>
              <w:rPr>
                <w:rStyle w:val="Hipervnculo"/>
                <w:lang w:val="pt-BR"/>
              </w:rPr>
            </w:pPr>
            <w:r>
              <w:fldChar w:fldCharType="begin"/>
            </w:r>
            <w:r w:rsidR="00A843D4" w:rsidRPr="000C2A2E">
              <w:rPr>
                <w:lang w:val="pt-BR"/>
              </w:rPr>
              <w:instrText xml:space="preserve"> HYPERLINK "../5.%20Registros/5.7.%20Registros%20SGI" </w:instrText>
            </w:r>
            <w:r>
              <w:fldChar w:fldCharType="separate"/>
            </w:r>
            <w:r w:rsidR="005F1BFF" w:rsidRPr="000C2A2E">
              <w:rPr>
                <w:rStyle w:val="Hipervnculo"/>
                <w:lang w:val="pt-BR"/>
              </w:rPr>
              <w:t>FORM.010 INFORME DE AUDITORIA INTERNA</w:t>
            </w:r>
          </w:p>
          <w:p w:rsidR="005E689E" w:rsidRPr="000C2A2E" w:rsidRDefault="00AC7AA8" w:rsidP="005E689E">
            <w:pPr>
              <w:jc w:val="both"/>
              <w:rPr>
                <w:rStyle w:val="Hipervnculo"/>
                <w:color w:val="auto"/>
                <w:u w:val="none"/>
                <w:lang w:val="pt-BR"/>
              </w:rPr>
            </w:pPr>
            <w:r>
              <w:fldChar w:fldCharType="end"/>
            </w:r>
            <w:r>
              <w:fldChar w:fldCharType="begin"/>
            </w:r>
            <w:r w:rsidR="00A843D4" w:rsidRPr="000C2A2E">
              <w:rPr>
                <w:lang w:val="pt-BR"/>
              </w:rPr>
              <w:instrText xml:space="preserve"> HYPERLINK "../5.%20Registros/5.7.%20Registros%20SGI" </w:instrText>
            </w:r>
            <w:r>
              <w:fldChar w:fldCharType="separate"/>
            </w:r>
            <w:r w:rsidR="00066D74" w:rsidRPr="000C2A2E">
              <w:rPr>
                <w:rStyle w:val="Hipervnculo"/>
                <w:lang w:val="pt-BR"/>
              </w:rPr>
              <w:t>FORM.018 PROGRAMACIÓN</w:t>
            </w:r>
            <w:r w:rsidR="005E689E" w:rsidRPr="000C2A2E">
              <w:rPr>
                <w:rStyle w:val="Hipervnculo"/>
                <w:lang w:val="pt-BR"/>
              </w:rPr>
              <w:t xml:space="preserve"> </w:t>
            </w:r>
            <w:r w:rsidR="000A032E" w:rsidRPr="000C2A2E">
              <w:rPr>
                <w:rStyle w:val="Hipervnculo"/>
                <w:lang w:val="pt-BR"/>
              </w:rPr>
              <w:t xml:space="preserve">ANUAL </w:t>
            </w:r>
            <w:r w:rsidR="005E689E" w:rsidRPr="000C2A2E">
              <w:rPr>
                <w:rStyle w:val="Hipervnculo"/>
                <w:lang w:val="pt-BR"/>
              </w:rPr>
              <w:t>DE AUDITORIAS</w:t>
            </w:r>
          </w:p>
          <w:p w:rsidR="00B20D20" w:rsidRPr="000C2A2E" w:rsidRDefault="00AC7AA8" w:rsidP="00B20D20">
            <w:pPr>
              <w:jc w:val="both"/>
              <w:rPr>
                <w:lang w:val="pt-BR"/>
              </w:rPr>
            </w:pPr>
            <w:r>
              <w:fldChar w:fldCharType="end"/>
            </w:r>
            <w:hyperlink r:id="rId8" w:anchor="/no-conformidades" w:history="1">
              <w:proofErr w:type="gramStart"/>
              <w:r w:rsidR="00B20D20" w:rsidRPr="000C2A2E">
                <w:rPr>
                  <w:rStyle w:val="Hipervnculo"/>
                  <w:lang w:val="pt-BR"/>
                </w:rPr>
                <w:t>NO CONFORMIDADES</w:t>
              </w:r>
              <w:proofErr w:type="gramEnd"/>
            </w:hyperlink>
          </w:p>
          <w:p w:rsidR="002641AB" w:rsidRPr="000C2A2E" w:rsidRDefault="002641AB" w:rsidP="000A683C">
            <w:pPr>
              <w:jc w:val="both"/>
              <w:rPr>
                <w:lang w:val="pt-BR"/>
              </w:rPr>
            </w:pPr>
          </w:p>
          <w:p w:rsidR="00B43F0B" w:rsidRPr="000C2A2E" w:rsidRDefault="00B43F0B" w:rsidP="000A683C">
            <w:pPr>
              <w:jc w:val="both"/>
              <w:rPr>
                <w:lang w:val="pt-BR"/>
              </w:rPr>
            </w:pPr>
          </w:p>
          <w:p w:rsidR="002641AB" w:rsidRPr="000C2A2E" w:rsidRDefault="005122F3" w:rsidP="000A683C">
            <w:pPr>
              <w:ind w:firstLine="205"/>
              <w:jc w:val="both"/>
              <w:rPr>
                <w:b/>
                <w:lang w:val="pt-BR"/>
              </w:rPr>
            </w:pPr>
            <w:r w:rsidRPr="000C2A2E">
              <w:rPr>
                <w:b/>
                <w:lang w:val="pt-BR"/>
              </w:rPr>
              <w:t>9</w:t>
            </w:r>
            <w:r w:rsidR="002641AB" w:rsidRPr="000C2A2E">
              <w:rPr>
                <w:b/>
                <w:lang w:val="pt-BR"/>
              </w:rPr>
              <w:t>.  ANEXOS</w:t>
            </w:r>
          </w:p>
          <w:p w:rsidR="002641AB" w:rsidRPr="000C2A2E" w:rsidRDefault="002641AB" w:rsidP="000A683C">
            <w:pPr>
              <w:jc w:val="both"/>
              <w:rPr>
                <w:lang w:val="pt-BR"/>
              </w:rPr>
            </w:pPr>
          </w:p>
          <w:p w:rsidR="002B169C" w:rsidRPr="00C728C0" w:rsidRDefault="002641AB" w:rsidP="000A683C">
            <w:pPr>
              <w:jc w:val="both"/>
            </w:pPr>
            <w:r w:rsidRPr="00C728C0">
              <w:t>No aplicable</w:t>
            </w:r>
          </w:p>
          <w:p w:rsidR="008F2286" w:rsidRPr="00C728C0" w:rsidRDefault="008F2286" w:rsidP="000A683C">
            <w:pPr>
              <w:jc w:val="both"/>
            </w:pPr>
          </w:p>
          <w:p w:rsidR="00D546AC" w:rsidRPr="00C728C0" w:rsidRDefault="00D546AC" w:rsidP="000A683C">
            <w:pPr>
              <w:jc w:val="both"/>
            </w:pPr>
          </w:p>
          <w:p w:rsidR="005F1BFF" w:rsidRPr="00C728C0" w:rsidRDefault="005F1BFF" w:rsidP="000A683C">
            <w:pPr>
              <w:jc w:val="both"/>
            </w:pPr>
          </w:p>
          <w:p w:rsidR="005F1BFF" w:rsidRPr="00C728C0" w:rsidRDefault="005F1BFF" w:rsidP="000A683C">
            <w:pPr>
              <w:jc w:val="both"/>
            </w:pPr>
          </w:p>
          <w:p w:rsidR="005F1BFF" w:rsidRPr="00C728C0" w:rsidRDefault="005F1BFF" w:rsidP="000A683C">
            <w:pPr>
              <w:jc w:val="both"/>
            </w:pPr>
          </w:p>
          <w:p w:rsidR="005F1BFF" w:rsidRPr="00C728C0" w:rsidRDefault="005F1BFF" w:rsidP="000A683C">
            <w:pPr>
              <w:jc w:val="both"/>
            </w:pPr>
          </w:p>
          <w:p w:rsidR="005F1BFF" w:rsidRPr="00C728C0" w:rsidRDefault="005F1BFF" w:rsidP="000A683C">
            <w:pPr>
              <w:jc w:val="both"/>
            </w:pPr>
          </w:p>
          <w:p w:rsidR="00757587" w:rsidRDefault="00757587" w:rsidP="000A683C">
            <w:pPr>
              <w:jc w:val="both"/>
            </w:pPr>
          </w:p>
          <w:p w:rsidR="00757587" w:rsidRPr="00C728C0" w:rsidRDefault="00757587" w:rsidP="000A683C">
            <w:pPr>
              <w:jc w:val="both"/>
            </w:pPr>
          </w:p>
        </w:tc>
      </w:tr>
    </w:tbl>
    <w:p w:rsidR="007F4DBF" w:rsidRPr="00C728C0" w:rsidRDefault="007F4DBF" w:rsidP="00DC7ECF">
      <w:pPr>
        <w:jc w:val="both"/>
      </w:pPr>
    </w:p>
    <w:sectPr w:rsidR="007F4DBF" w:rsidRPr="00C728C0" w:rsidSect="00C206FB">
      <w:headerReference w:type="default" r:id="rId9"/>
      <w:headerReference w:type="first" r:id="rId10"/>
      <w:footerReference w:type="first" r:id="rId11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7A0" w:rsidRDefault="005927A0">
      <w:r>
        <w:separator/>
      </w:r>
    </w:p>
  </w:endnote>
  <w:endnote w:type="continuationSeparator" w:id="0">
    <w:p w:rsidR="005927A0" w:rsidRDefault="00592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687395" w:rsidRPr="00C728C0" w:rsidTr="00CB403A">
      <w:trPr>
        <w:trHeight w:val="709"/>
        <w:jc w:val="center"/>
      </w:trPr>
      <w:tc>
        <w:tcPr>
          <w:tcW w:w="3420" w:type="dxa"/>
          <w:vAlign w:val="center"/>
        </w:tcPr>
        <w:p w:rsidR="00687395" w:rsidRPr="00C728C0" w:rsidRDefault="00687395" w:rsidP="00CB403A">
          <w:pPr>
            <w:pStyle w:val="Piedepgina"/>
            <w:rPr>
              <w:lang w:val="it-IT"/>
            </w:rPr>
          </w:pPr>
          <w:r w:rsidRPr="00C728C0">
            <w:rPr>
              <w:lang w:val="it-IT"/>
            </w:rPr>
            <w:t xml:space="preserve">Realizó: </w:t>
          </w:r>
          <w:r>
            <w:rPr>
              <w:lang w:val="it-IT"/>
            </w:rPr>
            <w:t>Resp. De Administracíon</w:t>
          </w:r>
        </w:p>
        <w:p w:rsidR="00687395" w:rsidRPr="00C728C0" w:rsidRDefault="00687395" w:rsidP="006E5367">
          <w:pPr>
            <w:pStyle w:val="Piedepgina"/>
          </w:pPr>
          <w:r w:rsidRPr="00C728C0">
            <w:rPr>
              <w:lang w:val="it-IT"/>
            </w:rPr>
            <w:t xml:space="preserve">Fecha: </w:t>
          </w:r>
          <w:r w:rsidR="000C2A2E">
            <w:rPr>
              <w:lang w:val="it-IT"/>
            </w:rPr>
            <w:t>13/06/2017</w:t>
          </w:r>
        </w:p>
      </w:tc>
      <w:tc>
        <w:tcPr>
          <w:tcW w:w="3420" w:type="dxa"/>
          <w:vAlign w:val="center"/>
        </w:tcPr>
        <w:p w:rsidR="00687395" w:rsidRPr="00C728C0" w:rsidRDefault="00687395" w:rsidP="00CB403A">
          <w:pPr>
            <w:pStyle w:val="Piedepgina"/>
          </w:pPr>
          <w:r w:rsidRPr="00C728C0">
            <w:t xml:space="preserve">Revisó: </w:t>
          </w:r>
          <w:r>
            <w:rPr>
              <w:lang w:val="it-IT"/>
            </w:rPr>
            <w:t>REDI</w:t>
          </w:r>
        </w:p>
        <w:p w:rsidR="00687395" w:rsidRPr="00C728C0" w:rsidRDefault="00687395" w:rsidP="006E5367">
          <w:pPr>
            <w:pStyle w:val="Piedepgina"/>
          </w:pPr>
          <w:r w:rsidRPr="00C728C0">
            <w:t xml:space="preserve">Fecha: </w:t>
          </w:r>
          <w:r w:rsidR="000C2A2E">
            <w:t>14/06/2017</w:t>
          </w:r>
        </w:p>
      </w:tc>
      <w:tc>
        <w:tcPr>
          <w:tcW w:w="3420" w:type="dxa"/>
          <w:vAlign w:val="center"/>
        </w:tcPr>
        <w:p w:rsidR="00687395" w:rsidRPr="00C728C0" w:rsidRDefault="00687395" w:rsidP="00CB403A">
          <w:pPr>
            <w:pStyle w:val="Piedepgina"/>
          </w:pPr>
          <w:r w:rsidRPr="00C728C0">
            <w:t xml:space="preserve">Aprobó: </w:t>
          </w:r>
          <w:r>
            <w:t>Gerente</w:t>
          </w:r>
          <w:r w:rsidRPr="00C728C0">
            <w:t xml:space="preserve"> </w:t>
          </w:r>
        </w:p>
        <w:p w:rsidR="00687395" w:rsidRPr="00C728C0" w:rsidRDefault="00687395" w:rsidP="006E5367">
          <w:pPr>
            <w:pStyle w:val="Piedepgina"/>
          </w:pPr>
          <w:r w:rsidRPr="00C728C0">
            <w:t xml:space="preserve">Fecha: </w:t>
          </w:r>
          <w:r w:rsidR="000C2A2E">
            <w:t>15/06/2017</w:t>
          </w:r>
        </w:p>
      </w:tc>
    </w:tr>
    <w:tr w:rsidR="00687395" w:rsidRPr="00C728C0" w:rsidTr="00CB403A">
      <w:trPr>
        <w:trHeight w:val="594"/>
        <w:jc w:val="center"/>
      </w:trPr>
      <w:tc>
        <w:tcPr>
          <w:tcW w:w="3420" w:type="dxa"/>
        </w:tcPr>
        <w:p w:rsidR="00687395" w:rsidRPr="00FD5E20" w:rsidRDefault="00687395" w:rsidP="00CB403A">
          <w:r w:rsidRPr="00FD5E20">
            <w:t>Firma:</w:t>
          </w:r>
        </w:p>
      </w:tc>
      <w:tc>
        <w:tcPr>
          <w:tcW w:w="3420" w:type="dxa"/>
        </w:tcPr>
        <w:p w:rsidR="00687395" w:rsidRPr="00FD5E20" w:rsidRDefault="00687395" w:rsidP="00CB403A">
          <w:r w:rsidRPr="00FD5E20">
            <w:t>Firma:</w:t>
          </w:r>
        </w:p>
      </w:tc>
      <w:tc>
        <w:tcPr>
          <w:tcW w:w="3420" w:type="dxa"/>
        </w:tcPr>
        <w:p w:rsidR="00687395" w:rsidRPr="00FD5E20" w:rsidRDefault="00687395" w:rsidP="00CB403A">
          <w:r w:rsidRPr="00FD5E20">
            <w:t>Firma:</w:t>
          </w:r>
        </w:p>
      </w:tc>
    </w:tr>
  </w:tbl>
  <w:p w:rsidR="00687395" w:rsidRDefault="006873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7A0" w:rsidRDefault="005927A0">
      <w:r>
        <w:separator/>
      </w:r>
    </w:p>
  </w:footnote>
  <w:footnote w:type="continuationSeparator" w:id="0">
    <w:p w:rsidR="005927A0" w:rsidRDefault="005927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687395">
      <w:trPr>
        <w:jc w:val="center"/>
      </w:trPr>
      <w:tc>
        <w:tcPr>
          <w:tcW w:w="3419" w:type="dxa"/>
        </w:tcPr>
        <w:p w:rsidR="00687395" w:rsidRDefault="00AC7AA8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16.5pt;margin-top:19.55pt;width:123.7pt;height:27.85pt;z-index:251659264">
                <v:imagedata r:id="rId1" o:title=""/>
              </v:shape>
              <o:OLEObject Type="Embed" ProgID="CorelPHOTOPAINT.Image.16" ShapeID="_x0000_s2053" DrawAspect="Content" ObjectID="_1592054563" r:id="rId2"/>
            </w:pict>
          </w:r>
        </w:p>
      </w:tc>
      <w:tc>
        <w:tcPr>
          <w:tcW w:w="3419" w:type="dxa"/>
          <w:vAlign w:val="center"/>
        </w:tcPr>
        <w:p w:rsidR="00687395" w:rsidRDefault="00687395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AUDITORIAS INTERNAS</w:t>
          </w:r>
        </w:p>
      </w:tc>
      <w:tc>
        <w:tcPr>
          <w:tcW w:w="3419" w:type="dxa"/>
        </w:tcPr>
        <w:p w:rsidR="00687395" w:rsidRDefault="00687395">
          <w:pPr>
            <w:pStyle w:val="Encabezado"/>
            <w:spacing w:before="120" w:after="120"/>
          </w:pPr>
          <w:r>
            <w:t>PRO.003.0</w:t>
          </w:r>
          <w:r w:rsidR="000C2A2E">
            <w:t>7</w:t>
          </w:r>
        </w:p>
        <w:p w:rsidR="00687395" w:rsidRDefault="00687395">
          <w:pPr>
            <w:pStyle w:val="Encabezado"/>
            <w:spacing w:before="120" w:after="120"/>
          </w:pPr>
          <w:r>
            <w:t xml:space="preserve">Fecha de Vigencia: </w:t>
          </w:r>
          <w:r w:rsidR="000C2A2E">
            <w:t>15/06/2017</w:t>
          </w:r>
        </w:p>
        <w:p w:rsidR="00687395" w:rsidRDefault="00687395">
          <w:pPr>
            <w:pStyle w:val="Encabezado"/>
            <w:spacing w:before="120" w:after="120"/>
          </w:pPr>
          <w:r>
            <w:t xml:space="preserve">Página: </w:t>
          </w:r>
          <w:r w:rsidR="00AC7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C7AA8">
            <w:rPr>
              <w:rStyle w:val="Nmerodepgina"/>
            </w:rPr>
            <w:fldChar w:fldCharType="separate"/>
          </w:r>
          <w:r w:rsidR="008B1E5E">
            <w:rPr>
              <w:rStyle w:val="Nmerodepgina"/>
              <w:noProof/>
            </w:rPr>
            <w:t>2</w:t>
          </w:r>
          <w:r w:rsidR="00AC7AA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AC7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AC7AA8">
            <w:rPr>
              <w:rStyle w:val="Nmerodepgina"/>
            </w:rPr>
            <w:fldChar w:fldCharType="separate"/>
          </w:r>
          <w:r w:rsidR="008B1E5E">
            <w:rPr>
              <w:rStyle w:val="Nmerodepgina"/>
              <w:noProof/>
            </w:rPr>
            <w:t>3</w:t>
          </w:r>
          <w:r w:rsidR="00AC7AA8">
            <w:rPr>
              <w:rStyle w:val="Nmerodepgina"/>
            </w:rPr>
            <w:fldChar w:fldCharType="end"/>
          </w:r>
        </w:p>
      </w:tc>
    </w:tr>
  </w:tbl>
  <w:p w:rsidR="00687395" w:rsidRPr="004C281A" w:rsidRDefault="00687395" w:rsidP="005732ED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687395" w:rsidTr="006E5367">
      <w:trPr>
        <w:jc w:val="center"/>
      </w:trPr>
      <w:tc>
        <w:tcPr>
          <w:tcW w:w="3419" w:type="dxa"/>
        </w:tcPr>
        <w:p w:rsidR="00687395" w:rsidRDefault="00AC7AA8" w:rsidP="009A1939">
          <w:pPr>
            <w:pStyle w:val="Encabezado"/>
            <w:spacing w:before="120" w:after="120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18.75pt;margin-top:18.8pt;width:123.7pt;height:27.85pt;z-index:251658240">
                <v:imagedata r:id="rId1" o:title=""/>
              </v:shape>
              <o:OLEObject Type="Embed" ProgID="CorelPHOTOPAINT.Image.16" ShapeID="_x0000_s2052" DrawAspect="Content" ObjectID="_1592054564" r:id="rId2"/>
            </w:pict>
          </w:r>
        </w:p>
      </w:tc>
      <w:tc>
        <w:tcPr>
          <w:tcW w:w="3419" w:type="dxa"/>
          <w:vAlign w:val="center"/>
        </w:tcPr>
        <w:p w:rsidR="00687395" w:rsidRDefault="00687395" w:rsidP="00CB403A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AUDITORIAS INTERNAS</w:t>
          </w:r>
        </w:p>
      </w:tc>
      <w:tc>
        <w:tcPr>
          <w:tcW w:w="3419" w:type="dxa"/>
        </w:tcPr>
        <w:p w:rsidR="00687395" w:rsidRDefault="000C2A2E" w:rsidP="00CB403A">
          <w:pPr>
            <w:pStyle w:val="Encabezado"/>
            <w:spacing w:before="120" w:after="120"/>
          </w:pPr>
          <w:r>
            <w:t>PRO.003.07</w:t>
          </w:r>
        </w:p>
        <w:p w:rsidR="00687395" w:rsidRDefault="000C2A2E" w:rsidP="00CB403A">
          <w:pPr>
            <w:pStyle w:val="Encabezado"/>
            <w:spacing w:before="120" w:after="120"/>
          </w:pPr>
          <w:r>
            <w:t>Fecha de Vigencia: 15/06/2017</w:t>
          </w:r>
        </w:p>
        <w:p w:rsidR="00687395" w:rsidRDefault="00687395" w:rsidP="00CB403A">
          <w:pPr>
            <w:pStyle w:val="Encabezado"/>
            <w:spacing w:before="120" w:after="120"/>
          </w:pPr>
          <w:r>
            <w:t xml:space="preserve">Página: </w:t>
          </w:r>
          <w:r w:rsidR="00AC7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C7AA8">
            <w:rPr>
              <w:rStyle w:val="Nmerodepgina"/>
            </w:rPr>
            <w:fldChar w:fldCharType="separate"/>
          </w:r>
          <w:r w:rsidR="008B1E5E">
            <w:rPr>
              <w:rStyle w:val="Nmerodepgina"/>
              <w:noProof/>
            </w:rPr>
            <w:t>1</w:t>
          </w:r>
          <w:r w:rsidR="00AC7AA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AC7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AC7AA8">
            <w:rPr>
              <w:rStyle w:val="Nmerodepgina"/>
            </w:rPr>
            <w:fldChar w:fldCharType="separate"/>
          </w:r>
          <w:r w:rsidR="008B1E5E">
            <w:rPr>
              <w:rStyle w:val="Nmerodepgina"/>
              <w:noProof/>
            </w:rPr>
            <w:t>3</w:t>
          </w:r>
          <w:r w:rsidR="00AC7AA8">
            <w:rPr>
              <w:rStyle w:val="Nmerodepgina"/>
            </w:rPr>
            <w:fldChar w:fldCharType="end"/>
          </w:r>
        </w:p>
      </w:tc>
    </w:tr>
  </w:tbl>
  <w:p w:rsidR="00687395" w:rsidRPr="000C2A2E" w:rsidRDefault="00687395">
    <w:pPr>
      <w:pStyle w:val="Encabezado"/>
      <w:rPr>
        <w:color w:val="808080"/>
        <w:sz w:val="20"/>
        <w:szCs w:val="20"/>
        <w:lang w:val="pt-BR"/>
      </w:rPr>
    </w:pPr>
    <w:r w:rsidRPr="000C2A2E">
      <w:rPr>
        <w:color w:val="808080"/>
        <w:sz w:val="20"/>
        <w:szCs w:val="20"/>
        <w:lang w:val="pt-BR"/>
      </w:rPr>
      <w:t xml:space="preserve">Se modifica </w:t>
    </w:r>
    <w:proofErr w:type="spellStart"/>
    <w:r w:rsidR="000C2A2E" w:rsidRPr="000C2A2E">
      <w:rPr>
        <w:color w:val="808080"/>
        <w:sz w:val="20"/>
        <w:szCs w:val="20"/>
        <w:lang w:val="pt-BR"/>
      </w:rPr>
      <w:t>Ítem</w:t>
    </w:r>
    <w:proofErr w:type="spellEnd"/>
    <w:r w:rsidR="000C2A2E" w:rsidRPr="000C2A2E">
      <w:rPr>
        <w:color w:val="808080"/>
        <w:sz w:val="20"/>
        <w:szCs w:val="20"/>
        <w:lang w:val="pt-BR"/>
      </w:rPr>
      <w:t xml:space="preserve"> 7.1</w:t>
    </w:r>
    <w:proofErr w:type="gramStart"/>
    <w:r w:rsidR="000C2A2E" w:rsidRPr="000C2A2E">
      <w:rPr>
        <w:color w:val="808080"/>
        <w:sz w:val="20"/>
        <w:szCs w:val="20"/>
        <w:lang w:val="pt-BR"/>
      </w:rPr>
      <w:t xml:space="preserve">  </w:t>
    </w:r>
    <w:proofErr w:type="gramEnd"/>
    <w:r w:rsidR="000C2A2E" w:rsidRPr="000C2A2E">
      <w:rPr>
        <w:color w:val="808080"/>
        <w:sz w:val="20"/>
        <w:szCs w:val="20"/>
        <w:lang w:val="pt-BR"/>
      </w:rPr>
      <w:t xml:space="preserve">e </w:t>
    </w:r>
    <w:proofErr w:type="spellStart"/>
    <w:r w:rsidR="000C2A2E" w:rsidRPr="000C2A2E">
      <w:rPr>
        <w:color w:val="808080"/>
        <w:sz w:val="20"/>
        <w:szCs w:val="20"/>
        <w:lang w:val="pt-BR"/>
      </w:rPr>
      <w:t>Ítem</w:t>
    </w:r>
    <w:proofErr w:type="spellEnd"/>
    <w:r w:rsidR="000C2A2E" w:rsidRPr="000C2A2E">
      <w:rPr>
        <w:color w:val="808080"/>
        <w:sz w:val="20"/>
        <w:szCs w:val="20"/>
        <w:lang w:val="pt-BR"/>
      </w:rPr>
      <w:t xml:space="preserve"> 8</w:t>
    </w:r>
    <w:r w:rsidR="000C2A2E">
      <w:rPr>
        <w:color w:val="808080"/>
        <w:sz w:val="20"/>
        <w:szCs w:val="20"/>
        <w:lang w:val="pt-BR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248B"/>
    <w:multiLevelType w:val="multilevel"/>
    <w:tmpl w:val="3F9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72756C"/>
    <w:multiLevelType w:val="multilevel"/>
    <w:tmpl w:val="EEC0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87FE0"/>
    <w:multiLevelType w:val="hybridMultilevel"/>
    <w:tmpl w:val="BE64A128"/>
    <w:lvl w:ilvl="0" w:tplc="0C0A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3">
    <w:nsid w:val="2E244989"/>
    <w:multiLevelType w:val="multilevel"/>
    <w:tmpl w:val="A1107B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F0B78CC"/>
    <w:multiLevelType w:val="hybridMultilevel"/>
    <w:tmpl w:val="D56637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972510"/>
    <w:multiLevelType w:val="hybridMultilevel"/>
    <w:tmpl w:val="1234C0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49536B"/>
    <w:multiLevelType w:val="multilevel"/>
    <w:tmpl w:val="E43A2E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D5B1A37"/>
    <w:multiLevelType w:val="multilevel"/>
    <w:tmpl w:val="2CE805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6013842"/>
    <w:multiLevelType w:val="hybridMultilevel"/>
    <w:tmpl w:val="F77255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0">
    <w:nsid w:val="58E35830"/>
    <w:multiLevelType w:val="hybridMultilevel"/>
    <w:tmpl w:val="E460C1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260A7B"/>
    <w:multiLevelType w:val="hybridMultilevel"/>
    <w:tmpl w:val="D30AB112"/>
    <w:lvl w:ilvl="0" w:tplc="C07CC984">
      <w:start w:val="2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285"/>
        </w:tabs>
        <w:ind w:left="1285" w:hanging="360"/>
      </w:pPr>
      <w:rPr>
        <w:rFonts w:ascii="Symbol" w:hAnsi="Symbol" w:hint="default"/>
      </w:rPr>
    </w:lvl>
    <w:lvl w:ilvl="2" w:tplc="7ED88856">
      <w:start w:val="1"/>
      <w:numFmt w:val="decimal"/>
      <w:lvlText w:val="%3-"/>
      <w:lvlJc w:val="left"/>
      <w:pPr>
        <w:ind w:left="2185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</w:lvl>
  </w:abstractNum>
  <w:abstractNum w:abstractNumId="12">
    <w:nsid w:val="7D3D50AA"/>
    <w:multiLevelType w:val="multilevel"/>
    <w:tmpl w:val="8E5CEE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40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3689"/>
    <w:rsid w:val="00006551"/>
    <w:rsid w:val="00023A5B"/>
    <w:rsid w:val="00036B0E"/>
    <w:rsid w:val="0004277D"/>
    <w:rsid w:val="000614C0"/>
    <w:rsid w:val="00065867"/>
    <w:rsid w:val="000666E7"/>
    <w:rsid w:val="00066D74"/>
    <w:rsid w:val="00074F0F"/>
    <w:rsid w:val="00076C3E"/>
    <w:rsid w:val="00085623"/>
    <w:rsid w:val="0009241F"/>
    <w:rsid w:val="000954C4"/>
    <w:rsid w:val="000A032E"/>
    <w:rsid w:val="000A3040"/>
    <w:rsid w:val="000A683C"/>
    <w:rsid w:val="000A713B"/>
    <w:rsid w:val="000A78FD"/>
    <w:rsid w:val="000B6C95"/>
    <w:rsid w:val="000C1932"/>
    <w:rsid w:val="000C2A2E"/>
    <w:rsid w:val="000C3800"/>
    <w:rsid w:val="000C7DBA"/>
    <w:rsid w:val="000E3E40"/>
    <w:rsid w:val="000F4484"/>
    <w:rsid w:val="001106FE"/>
    <w:rsid w:val="0011516C"/>
    <w:rsid w:val="001156E1"/>
    <w:rsid w:val="00134120"/>
    <w:rsid w:val="001407C7"/>
    <w:rsid w:val="00161656"/>
    <w:rsid w:val="00173D8B"/>
    <w:rsid w:val="001930AE"/>
    <w:rsid w:val="001A60CF"/>
    <w:rsid w:val="001A6189"/>
    <w:rsid w:val="001C1A49"/>
    <w:rsid w:val="001C31CA"/>
    <w:rsid w:val="001F4EFC"/>
    <w:rsid w:val="001F68C3"/>
    <w:rsid w:val="002004CB"/>
    <w:rsid w:val="002051BB"/>
    <w:rsid w:val="00213A42"/>
    <w:rsid w:val="002313BE"/>
    <w:rsid w:val="002318EC"/>
    <w:rsid w:val="0023254E"/>
    <w:rsid w:val="00235CD2"/>
    <w:rsid w:val="002431FC"/>
    <w:rsid w:val="002453D2"/>
    <w:rsid w:val="00250071"/>
    <w:rsid w:val="002619B8"/>
    <w:rsid w:val="00263C86"/>
    <w:rsid w:val="002641AB"/>
    <w:rsid w:val="002B169C"/>
    <w:rsid w:val="002C6A34"/>
    <w:rsid w:val="002F44EB"/>
    <w:rsid w:val="002F451D"/>
    <w:rsid w:val="002F5238"/>
    <w:rsid w:val="002F7E60"/>
    <w:rsid w:val="003043A4"/>
    <w:rsid w:val="003071CE"/>
    <w:rsid w:val="003113BB"/>
    <w:rsid w:val="0033376D"/>
    <w:rsid w:val="00347F82"/>
    <w:rsid w:val="0035376F"/>
    <w:rsid w:val="00357953"/>
    <w:rsid w:val="00370303"/>
    <w:rsid w:val="00374F66"/>
    <w:rsid w:val="003823C0"/>
    <w:rsid w:val="00386E29"/>
    <w:rsid w:val="003A530C"/>
    <w:rsid w:val="003A752B"/>
    <w:rsid w:val="003D1813"/>
    <w:rsid w:val="003D4BCA"/>
    <w:rsid w:val="0040424D"/>
    <w:rsid w:val="00405F2D"/>
    <w:rsid w:val="00407BB6"/>
    <w:rsid w:val="00430FB8"/>
    <w:rsid w:val="0044225C"/>
    <w:rsid w:val="00464F0C"/>
    <w:rsid w:val="00476AE8"/>
    <w:rsid w:val="004B6E56"/>
    <w:rsid w:val="004C281A"/>
    <w:rsid w:val="004D1501"/>
    <w:rsid w:val="004E6DF4"/>
    <w:rsid w:val="00503094"/>
    <w:rsid w:val="00503196"/>
    <w:rsid w:val="005122F3"/>
    <w:rsid w:val="00514184"/>
    <w:rsid w:val="005157D2"/>
    <w:rsid w:val="005500D0"/>
    <w:rsid w:val="00560311"/>
    <w:rsid w:val="005732ED"/>
    <w:rsid w:val="005905CD"/>
    <w:rsid w:val="005927A0"/>
    <w:rsid w:val="005B3A48"/>
    <w:rsid w:val="005B7D57"/>
    <w:rsid w:val="005E4F86"/>
    <w:rsid w:val="005E689E"/>
    <w:rsid w:val="005F01EC"/>
    <w:rsid w:val="005F1BFF"/>
    <w:rsid w:val="0060639F"/>
    <w:rsid w:val="006174AD"/>
    <w:rsid w:val="00656505"/>
    <w:rsid w:val="006714C2"/>
    <w:rsid w:val="00682F11"/>
    <w:rsid w:val="0068648F"/>
    <w:rsid w:val="00687099"/>
    <w:rsid w:val="00687395"/>
    <w:rsid w:val="006B2877"/>
    <w:rsid w:val="006C1C55"/>
    <w:rsid w:val="006E22F9"/>
    <w:rsid w:val="006E5367"/>
    <w:rsid w:val="006E7564"/>
    <w:rsid w:val="006F13F1"/>
    <w:rsid w:val="00702314"/>
    <w:rsid w:val="007328B0"/>
    <w:rsid w:val="00734059"/>
    <w:rsid w:val="007373E2"/>
    <w:rsid w:val="00755B2C"/>
    <w:rsid w:val="00756723"/>
    <w:rsid w:val="00757587"/>
    <w:rsid w:val="00775DB0"/>
    <w:rsid w:val="00784C24"/>
    <w:rsid w:val="007911CB"/>
    <w:rsid w:val="00793FBC"/>
    <w:rsid w:val="00795DCF"/>
    <w:rsid w:val="007B05E9"/>
    <w:rsid w:val="007B68CE"/>
    <w:rsid w:val="007E5676"/>
    <w:rsid w:val="007F2DB6"/>
    <w:rsid w:val="007F4DBF"/>
    <w:rsid w:val="008042EC"/>
    <w:rsid w:val="00815DED"/>
    <w:rsid w:val="008169AD"/>
    <w:rsid w:val="00823217"/>
    <w:rsid w:val="00823579"/>
    <w:rsid w:val="00825246"/>
    <w:rsid w:val="00827EE6"/>
    <w:rsid w:val="008370E0"/>
    <w:rsid w:val="00841B47"/>
    <w:rsid w:val="008474AB"/>
    <w:rsid w:val="00854C47"/>
    <w:rsid w:val="0085535A"/>
    <w:rsid w:val="00880D69"/>
    <w:rsid w:val="0089103E"/>
    <w:rsid w:val="008911F2"/>
    <w:rsid w:val="008B0DDB"/>
    <w:rsid w:val="008B146D"/>
    <w:rsid w:val="008B1E5E"/>
    <w:rsid w:val="008D19F5"/>
    <w:rsid w:val="008E7F7E"/>
    <w:rsid w:val="008F2286"/>
    <w:rsid w:val="008F3A45"/>
    <w:rsid w:val="00914BC6"/>
    <w:rsid w:val="0091793D"/>
    <w:rsid w:val="0092705C"/>
    <w:rsid w:val="009416FD"/>
    <w:rsid w:val="009441E6"/>
    <w:rsid w:val="00956D7D"/>
    <w:rsid w:val="009643C3"/>
    <w:rsid w:val="00965E73"/>
    <w:rsid w:val="00984EEA"/>
    <w:rsid w:val="00996008"/>
    <w:rsid w:val="009A1939"/>
    <w:rsid w:val="009C2F57"/>
    <w:rsid w:val="009C5EB3"/>
    <w:rsid w:val="009F1F6F"/>
    <w:rsid w:val="009F297D"/>
    <w:rsid w:val="00A21ABD"/>
    <w:rsid w:val="00A3378D"/>
    <w:rsid w:val="00A363CA"/>
    <w:rsid w:val="00A428B0"/>
    <w:rsid w:val="00A535BC"/>
    <w:rsid w:val="00A6328B"/>
    <w:rsid w:val="00A64BDB"/>
    <w:rsid w:val="00A81ABA"/>
    <w:rsid w:val="00A843D4"/>
    <w:rsid w:val="00AA08DE"/>
    <w:rsid w:val="00AA44A3"/>
    <w:rsid w:val="00AB64D0"/>
    <w:rsid w:val="00AC2246"/>
    <w:rsid w:val="00AC7AA8"/>
    <w:rsid w:val="00AD2713"/>
    <w:rsid w:val="00AE172E"/>
    <w:rsid w:val="00AE5F7F"/>
    <w:rsid w:val="00B069CC"/>
    <w:rsid w:val="00B1742A"/>
    <w:rsid w:val="00B20D20"/>
    <w:rsid w:val="00B43F0B"/>
    <w:rsid w:val="00B50F5B"/>
    <w:rsid w:val="00B5133D"/>
    <w:rsid w:val="00B5572C"/>
    <w:rsid w:val="00B6320C"/>
    <w:rsid w:val="00B654F1"/>
    <w:rsid w:val="00B67CC2"/>
    <w:rsid w:val="00BC5782"/>
    <w:rsid w:val="00BD011A"/>
    <w:rsid w:val="00BD1761"/>
    <w:rsid w:val="00BD30DF"/>
    <w:rsid w:val="00BF35E6"/>
    <w:rsid w:val="00BF5CC3"/>
    <w:rsid w:val="00C029BB"/>
    <w:rsid w:val="00C06CCD"/>
    <w:rsid w:val="00C206FB"/>
    <w:rsid w:val="00C208E3"/>
    <w:rsid w:val="00C237AD"/>
    <w:rsid w:val="00C23DF0"/>
    <w:rsid w:val="00C32B8B"/>
    <w:rsid w:val="00C43BD6"/>
    <w:rsid w:val="00C47B9F"/>
    <w:rsid w:val="00C728C0"/>
    <w:rsid w:val="00C9099E"/>
    <w:rsid w:val="00C91662"/>
    <w:rsid w:val="00C954EC"/>
    <w:rsid w:val="00CB3637"/>
    <w:rsid w:val="00CB3FFB"/>
    <w:rsid w:val="00CB403A"/>
    <w:rsid w:val="00CD5706"/>
    <w:rsid w:val="00CE227C"/>
    <w:rsid w:val="00CE49B3"/>
    <w:rsid w:val="00CF1A15"/>
    <w:rsid w:val="00D16FF9"/>
    <w:rsid w:val="00D25EB9"/>
    <w:rsid w:val="00D52E7D"/>
    <w:rsid w:val="00D546AC"/>
    <w:rsid w:val="00D839B0"/>
    <w:rsid w:val="00DA2FA0"/>
    <w:rsid w:val="00DB0805"/>
    <w:rsid w:val="00DC7ECF"/>
    <w:rsid w:val="00DE1265"/>
    <w:rsid w:val="00DE13B3"/>
    <w:rsid w:val="00DF2F87"/>
    <w:rsid w:val="00DF5537"/>
    <w:rsid w:val="00E0568B"/>
    <w:rsid w:val="00E11D89"/>
    <w:rsid w:val="00E50688"/>
    <w:rsid w:val="00E646F1"/>
    <w:rsid w:val="00E65BB1"/>
    <w:rsid w:val="00E66460"/>
    <w:rsid w:val="00E74DFC"/>
    <w:rsid w:val="00E83C95"/>
    <w:rsid w:val="00E92F52"/>
    <w:rsid w:val="00E94FE3"/>
    <w:rsid w:val="00EA107D"/>
    <w:rsid w:val="00EB5BF8"/>
    <w:rsid w:val="00EC7828"/>
    <w:rsid w:val="00EE3BF8"/>
    <w:rsid w:val="00F02FA3"/>
    <w:rsid w:val="00F03063"/>
    <w:rsid w:val="00F0316F"/>
    <w:rsid w:val="00F03739"/>
    <w:rsid w:val="00F0417D"/>
    <w:rsid w:val="00F11C11"/>
    <w:rsid w:val="00F15EFD"/>
    <w:rsid w:val="00F25588"/>
    <w:rsid w:val="00F27FD3"/>
    <w:rsid w:val="00F373CA"/>
    <w:rsid w:val="00F40C65"/>
    <w:rsid w:val="00F438D6"/>
    <w:rsid w:val="00F717F9"/>
    <w:rsid w:val="00F825D0"/>
    <w:rsid w:val="00F9134D"/>
    <w:rsid w:val="00F91ABD"/>
    <w:rsid w:val="00FB4691"/>
    <w:rsid w:val="00FB4923"/>
    <w:rsid w:val="00FE424D"/>
    <w:rsid w:val="00FE76E3"/>
    <w:rsid w:val="00FF31B8"/>
    <w:rsid w:val="00FF5197"/>
    <w:rsid w:val="00FF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B7D5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5B7D57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5B7D57"/>
  </w:style>
  <w:style w:type="character" w:styleId="Refdecomentario">
    <w:name w:val="annotation reference"/>
    <w:semiHidden/>
    <w:rsid w:val="005B7D57"/>
    <w:rPr>
      <w:sz w:val="16"/>
      <w:szCs w:val="16"/>
    </w:rPr>
  </w:style>
  <w:style w:type="paragraph" w:styleId="Textocomentario">
    <w:name w:val="annotation text"/>
    <w:basedOn w:val="Normal"/>
    <w:semiHidden/>
    <w:rsid w:val="005B7D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5B7D57"/>
    <w:rPr>
      <w:b/>
      <w:bCs/>
    </w:rPr>
  </w:style>
  <w:style w:type="paragraph" w:styleId="Textodeglobo">
    <w:name w:val="Balloon Text"/>
    <w:basedOn w:val="Normal"/>
    <w:semiHidden/>
    <w:rsid w:val="005B7D57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C206FB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43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31F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431FC"/>
  </w:style>
  <w:style w:type="character" w:styleId="Hipervnculovisitado">
    <w:name w:val="FollowedHyperlink"/>
    <w:basedOn w:val="Fuentedeprrafopredeter"/>
    <w:rsid w:val="00A843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16.31.98:808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1E3AF-7D15-4A0D-B3D3-C94D2212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18</cp:revision>
  <cp:lastPrinted>2013-11-21T14:28:00Z</cp:lastPrinted>
  <dcterms:created xsi:type="dcterms:W3CDTF">2014-11-30T03:12:00Z</dcterms:created>
  <dcterms:modified xsi:type="dcterms:W3CDTF">2018-07-02T19:36:00Z</dcterms:modified>
</cp:coreProperties>
</file>