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D2" w:rsidRDefault="008B61D2">
      <w:bookmarkStart w:id="0" w:name="_GoBack"/>
      <w:bookmarkEnd w:id="0"/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8B61D2" w:rsidTr="00122F2F">
        <w:trPr>
          <w:trHeight w:val="5260"/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OBJETIVO</w:t>
            </w:r>
          </w:p>
          <w:p w:rsidR="00B765F5" w:rsidRPr="008B61D2" w:rsidRDefault="002641AB" w:rsidP="00521ED4">
            <w:pPr>
              <w:spacing w:line="360" w:lineRule="auto"/>
              <w:jc w:val="both"/>
            </w:pPr>
            <w:r w:rsidRPr="008B61D2">
              <w:t xml:space="preserve">El objeto de este procedimiento es </w:t>
            </w:r>
            <w:r w:rsidR="0020473A" w:rsidRPr="008B61D2">
              <w:t>mantener el cuadro de conductores de la empresa con la habilitación reglamentaria exigida por la legislación vigente</w:t>
            </w:r>
            <w:r w:rsidR="00B765F5" w:rsidRPr="008B61D2">
              <w:t xml:space="preserve"> y generar acciones </w:t>
            </w:r>
            <w:r w:rsidR="005B03DE" w:rsidRPr="008B61D2">
              <w:t>para</w:t>
            </w:r>
            <w:r w:rsidR="00E701F7" w:rsidRPr="008B61D2">
              <w:t xml:space="preserve"> prevenir la posibilidad</w:t>
            </w:r>
            <w:r w:rsidR="00B765F5" w:rsidRPr="008B61D2">
              <w:t xml:space="preserve"> que conductores de la empresa se encuentren inhabilitados para conducir, por no realizar los trámites correspondientes.</w:t>
            </w:r>
          </w:p>
          <w:p w:rsidR="0020473A" w:rsidRPr="008B61D2" w:rsidRDefault="0020473A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ALCANCE</w:t>
            </w:r>
          </w:p>
          <w:p w:rsidR="006077BD" w:rsidRPr="008B61D2" w:rsidRDefault="006077BD" w:rsidP="00521ED4">
            <w:pPr>
              <w:spacing w:line="360" w:lineRule="auto"/>
              <w:jc w:val="both"/>
            </w:pPr>
            <w:r w:rsidRPr="008B61D2">
              <w:t xml:space="preserve">Este procedimiento es aplicable a todos los conductores en </w:t>
            </w:r>
            <w:r w:rsidR="00C43566" w:rsidRPr="008B61D2">
              <w:t>servicios para la empresa, tanto propios como externos</w:t>
            </w:r>
            <w:r w:rsidRPr="008B61D2">
              <w:t>.</w:t>
            </w:r>
          </w:p>
          <w:p w:rsidR="00BB4D2C" w:rsidRPr="008B61D2" w:rsidRDefault="00BB4D2C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REFERENCIAS</w:t>
            </w:r>
          </w:p>
          <w:p w:rsidR="00C73C23" w:rsidRPr="008B61D2" w:rsidRDefault="00C73C23" w:rsidP="00521ED4">
            <w:pPr>
              <w:spacing w:line="360" w:lineRule="auto"/>
              <w:jc w:val="both"/>
            </w:pPr>
            <w:r w:rsidRPr="008B61D2">
              <w:t>Ley de Tránsito Nacional Nro. 24.449</w:t>
            </w:r>
          </w:p>
          <w:p w:rsidR="00DF2F87" w:rsidRPr="008B61D2" w:rsidRDefault="00DF2F87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DEFINICIONES</w:t>
            </w:r>
          </w:p>
          <w:p w:rsidR="0012738F" w:rsidRPr="008B61D2" w:rsidRDefault="00AE1E3D" w:rsidP="00521ED4">
            <w:pPr>
              <w:spacing w:line="360" w:lineRule="auto"/>
              <w:jc w:val="both"/>
            </w:pPr>
            <w:r w:rsidRPr="008B61D2">
              <w:t>No Aplica</w:t>
            </w:r>
          </w:p>
          <w:p w:rsidR="00BB4D2C" w:rsidRPr="008B61D2" w:rsidRDefault="00BB4D2C" w:rsidP="00521ED4">
            <w:pPr>
              <w:spacing w:line="360" w:lineRule="auto"/>
              <w:ind w:firstLine="205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ABREVIATURAS</w:t>
            </w:r>
          </w:p>
          <w:p w:rsidR="002641AB" w:rsidRPr="008B61D2" w:rsidRDefault="00C73C23" w:rsidP="00521ED4">
            <w:pPr>
              <w:spacing w:line="360" w:lineRule="auto"/>
              <w:jc w:val="both"/>
            </w:pPr>
            <w:r w:rsidRPr="008B61D2">
              <w:t xml:space="preserve">SVYC </w:t>
            </w:r>
            <w:r w:rsidR="008C5E6F" w:rsidRPr="008B61D2">
              <w:t>Seguridad Vial</w:t>
            </w:r>
            <w:r w:rsidRPr="008B61D2">
              <w:t xml:space="preserve"> y Capacitaciones</w:t>
            </w:r>
          </w:p>
          <w:p w:rsidR="00C73C23" w:rsidRPr="008B61D2" w:rsidRDefault="00C73C23" w:rsidP="00521ED4">
            <w:pPr>
              <w:spacing w:line="360" w:lineRule="auto"/>
              <w:jc w:val="both"/>
            </w:pPr>
            <w:r w:rsidRPr="008B61D2">
              <w:t>ASV Asistente Seguridad Vial</w:t>
            </w:r>
          </w:p>
          <w:p w:rsidR="00F1417F" w:rsidRPr="008B61D2" w:rsidRDefault="00F1417F" w:rsidP="00521ED4">
            <w:pPr>
              <w:spacing w:line="360" w:lineRule="auto"/>
              <w:jc w:val="both"/>
            </w:pPr>
            <w:r w:rsidRPr="008B61D2">
              <w:t xml:space="preserve">SMG: Sistema Modulo de Gestión </w:t>
            </w:r>
          </w:p>
          <w:p w:rsidR="00824DCA" w:rsidRPr="008B61D2" w:rsidRDefault="000077B8" w:rsidP="00521ED4">
            <w:pPr>
              <w:spacing w:line="360" w:lineRule="auto"/>
              <w:jc w:val="both"/>
            </w:pPr>
            <w:r w:rsidRPr="008B61D2">
              <w:t xml:space="preserve">  </w:t>
            </w: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 w:rsidRPr="008B61D2">
              <w:rPr>
                <w:b/>
              </w:rPr>
              <w:t>RESPONSABILIDADES</w:t>
            </w:r>
          </w:p>
          <w:p w:rsidR="00984EEA" w:rsidRPr="008B61D2" w:rsidRDefault="007654B8" w:rsidP="00521ED4">
            <w:pPr>
              <w:spacing w:line="360" w:lineRule="auto"/>
              <w:jc w:val="both"/>
            </w:pPr>
            <w:r w:rsidRPr="008B61D2">
              <w:t>El principal responsable de este procedimiento es</w:t>
            </w:r>
            <w:r w:rsidR="002C2B58" w:rsidRPr="008B61D2">
              <w:t xml:space="preserve"> </w:t>
            </w:r>
            <w:r w:rsidR="00075C25" w:rsidRPr="008B61D2">
              <w:t>SVYC</w:t>
            </w:r>
            <w:r w:rsidR="008B61D2">
              <w:t xml:space="preserve"> (P-33)</w:t>
            </w:r>
            <w:r w:rsidRPr="008B61D2">
              <w:t xml:space="preserve">, en coordinación con el sector de </w:t>
            </w:r>
            <w:r w:rsidR="008C5E6F" w:rsidRPr="008B61D2">
              <w:t>Tráfico</w:t>
            </w:r>
            <w:r w:rsidR="001735A3" w:rsidRPr="008B61D2">
              <w:t>.</w:t>
            </w:r>
          </w:p>
          <w:p w:rsidR="00075C25" w:rsidRPr="008B61D2" w:rsidRDefault="00075C25" w:rsidP="00521ED4">
            <w:pPr>
              <w:spacing w:line="360" w:lineRule="auto"/>
              <w:jc w:val="both"/>
            </w:pPr>
            <w:r w:rsidRPr="008B61D2">
              <w:t>Implementa ASV</w:t>
            </w:r>
            <w:r w:rsidR="008B61D2">
              <w:t xml:space="preserve"> (P-34).</w:t>
            </w:r>
          </w:p>
          <w:p w:rsidR="001735A3" w:rsidRPr="008B61D2" w:rsidRDefault="001735A3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DESARROLLO</w:t>
            </w:r>
          </w:p>
          <w:p w:rsidR="0012738F" w:rsidRPr="008B61D2" w:rsidRDefault="002641AB" w:rsidP="00521ED4">
            <w:pPr>
              <w:spacing w:line="360" w:lineRule="auto"/>
              <w:ind w:firstLine="385"/>
              <w:jc w:val="both"/>
              <w:rPr>
                <w:b/>
              </w:rPr>
            </w:pPr>
            <w:r w:rsidRPr="008B61D2">
              <w:rPr>
                <w:b/>
              </w:rPr>
              <w:t>7.1. Control</w:t>
            </w:r>
            <w:r w:rsidR="00970886" w:rsidRPr="008B61D2">
              <w:rPr>
                <w:b/>
              </w:rPr>
              <w:t xml:space="preserve"> de documentación habilitante</w:t>
            </w:r>
          </w:p>
          <w:p w:rsidR="000D6926" w:rsidRPr="008B61D2" w:rsidRDefault="002C2B58" w:rsidP="00521ED4">
            <w:pPr>
              <w:spacing w:line="360" w:lineRule="auto"/>
              <w:jc w:val="both"/>
            </w:pPr>
            <w:r w:rsidRPr="008B61D2">
              <w:lastRenderedPageBreak/>
              <w:t xml:space="preserve">ASV </w:t>
            </w:r>
            <w:r w:rsidR="00FF2879" w:rsidRPr="008B61D2">
              <w:t>es el encargado de administrar todos los</w:t>
            </w:r>
            <w:r w:rsidR="0012738F" w:rsidRPr="008B61D2">
              <w:t xml:space="preserve"> documentos que certifiquen que un conductor se encuentra habilitado</w:t>
            </w:r>
            <w:r w:rsidR="000D6926" w:rsidRPr="008B61D2">
              <w:t xml:space="preserve">.  </w:t>
            </w:r>
          </w:p>
          <w:p w:rsidR="000D6926" w:rsidRPr="008B61D2" w:rsidRDefault="000D6926" w:rsidP="00521ED4">
            <w:pPr>
              <w:spacing w:line="360" w:lineRule="auto"/>
              <w:jc w:val="both"/>
            </w:pPr>
          </w:p>
          <w:p w:rsidR="000D6926" w:rsidRPr="008B61D2" w:rsidRDefault="000D6926" w:rsidP="00521ED4">
            <w:pPr>
              <w:spacing w:line="360" w:lineRule="auto"/>
              <w:jc w:val="both"/>
            </w:pPr>
            <w:r w:rsidRPr="008B61D2">
              <w:t>La documentación se digitaliza y guarda en carpetas por conductor</w:t>
            </w:r>
            <w:r w:rsidR="00970886" w:rsidRPr="008B61D2">
              <w:t xml:space="preserve">, </w:t>
            </w:r>
            <w:r w:rsidR="00FF2879" w:rsidRPr="008B61D2">
              <w:t xml:space="preserve">y </w:t>
            </w:r>
            <w:r w:rsidR="00970886" w:rsidRPr="008B61D2">
              <w:t xml:space="preserve">además </w:t>
            </w:r>
            <w:r w:rsidRPr="008B61D2">
              <w:t xml:space="preserve">se cargan en el </w:t>
            </w:r>
            <w:r w:rsidR="00452735" w:rsidRPr="008B61D2">
              <w:t>SMG, para</w:t>
            </w:r>
            <w:r w:rsidRPr="008B61D2">
              <w:t xml:space="preserve"> su control.</w:t>
            </w:r>
          </w:p>
          <w:p w:rsidR="00F1417F" w:rsidRPr="008B61D2" w:rsidRDefault="00F1417F" w:rsidP="00521ED4">
            <w:pPr>
              <w:spacing w:line="360" w:lineRule="auto"/>
              <w:jc w:val="both"/>
            </w:pPr>
          </w:p>
          <w:p w:rsidR="00420577" w:rsidRPr="008B61D2" w:rsidRDefault="00420577" w:rsidP="00521ED4">
            <w:pPr>
              <w:spacing w:line="360" w:lineRule="auto"/>
              <w:jc w:val="both"/>
              <w:rPr>
                <w:sz w:val="10"/>
                <w:szCs w:val="10"/>
              </w:rPr>
            </w:pPr>
          </w:p>
          <w:p w:rsidR="0012738F" w:rsidRPr="008B61D2" w:rsidRDefault="00C4170D" w:rsidP="00521ED4">
            <w:pPr>
              <w:spacing w:line="360" w:lineRule="auto"/>
              <w:ind w:firstLine="365"/>
              <w:jc w:val="both"/>
              <w:rPr>
                <w:b/>
              </w:rPr>
            </w:pPr>
            <w:r w:rsidRPr="008B61D2">
              <w:rPr>
                <w:b/>
              </w:rPr>
              <w:t xml:space="preserve">7.2. </w:t>
            </w:r>
            <w:r w:rsidR="0012738F" w:rsidRPr="008B61D2">
              <w:rPr>
                <w:b/>
              </w:rPr>
              <w:t>Chequeo de vencimientos</w:t>
            </w:r>
          </w:p>
          <w:p w:rsidR="000D6926" w:rsidRPr="008B61D2" w:rsidRDefault="000D6926" w:rsidP="00521ED4">
            <w:pPr>
              <w:spacing w:line="360" w:lineRule="auto"/>
              <w:jc w:val="both"/>
            </w:pPr>
            <w:r w:rsidRPr="008B61D2">
              <w:t xml:space="preserve">Con </w:t>
            </w:r>
            <w:r w:rsidR="00617CEF" w:rsidRPr="008B61D2">
              <w:t xml:space="preserve">45 </w:t>
            </w:r>
            <w:r w:rsidRPr="008B61D2">
              <w:t>días de anticipación a la fecha de vencimiento, el sistema alerta a todos los sectores involucrados como así también a los conductores cuando los mismos ingresen a verificar su diagramación diaria con el login asignado.</w:t>
            </w:r>
          </w:p>
          <w:p w:rsidR="00C8701E" w:rsidRPr="008B61D2" w:rsidRDefault="00D136CE" w:rsidP="00521ED4">
            <w:pPr>
              <w:spacing w:line="360" w:lineRule="auto"/>
              <w:jc w:val="both"/>
            </w:pPr>
            <w:r w:rsidRPr="008B61D2">
              <w:t xml:space="preserve">En caso de no haberse realizado la correspondiente renovación y/o modificación en el </w:t>
            </w:r>
            <w:r w:rsidR="00F1417F" w:rsidRPr="008B61D2">
              <w:t>SMG</w:t>
            </w:r>
            <w:r w:rsidRPr="008B61D2">
              <w:t xml:space="preserve"> </w:t>
            </w:r>
            <w:r w:rsidR="00D91808" w:rsidRPr="008B61D2">
              <w:t xml:space="preserve">seguirá emitiendo </w:t>
            </w:r>
            <w:r w:rsidR="00452735" w:rsidRPr="008B61D2">
              <w:t>la alerta</w:t>
            </w:r>
            <w:r w:rsidR="00D91808" w:rsidRPr="008B61D2">
              <w:t xml:space="preserve"> hasta tanto no sea registrado el cambio</w:t>
            </w:r>
            <w:r w:rsidR="000D6926" w:rsidRPr="008B61D2">
              <w:t>.</w:t>
            </w:r>
          </w:p>
          <w:p w:rsidR="00D91808" w:rsidRPr="008B61D2" w:rsidRDefault="00D91808" w:rsidP="00521ED4">
            <w:pPr>
              <w:spacing w:line="360" w:lineRule="auto"/>
              <w:jc w:val="both"/>
            </w:pPr>
          </w:p>
          <w:p w:rsidR="0012738F" w:rsidRPr="008B61D2" w:rsidRDefault="00B66B2F" w:rsidP="00521ED4">
            <w:pPr>
              <w:spacing w:line="360" w:lineRule="auto"/>
              <w:ind w:firstLine="365"/>
              <w:jc w:val="both"/>
              <w:rPr>
                <w:b/>
              </w:rPr>
            </w:pPr>
            <w:r w:rsidRPr="008B61D2">
              <w:rPr>
                <w:b/>
              </w:rPr>
              <w:t xml:space="preserve">7.3. </w:t>
            </w:r>
            <w:r w:rsidR="0014040C" w:rsidRPr="008B61D2">
              <w:rPr>
                <w:b/>
              </w:rPr>
              <w:t>P</w:t>
            </w:r>
            <w:r w:rsidR="0012738F" w:rsidRPr="008B61D2">
              <w:rPr>
                <w:b/>
              </w:rPr>
              <w:t>roceder de la oficina de tráfico</w:t>
            </w:r>
          </w:p>
          <w:p w:rsidR="00C8701E" w:rsidRPr="008B61D2" w:rsidRDefault="00C8701E" w:rsidP="00521ED4">
            <w:pPr>
              <w:spacing w:line="360" w:lineRule="auto"/>
              <w:jc w:val="both"/>
            </w:pPr>
            <w:r w:rsidRPr="008B61D2">
              <w:t>En caso de no contar con la renovación correspondiente antes de la fecha de vencimiento el conductor quedar</w:t>
            </w:r>
            <w:r w:rsidR="0014040C" w:rsidRPr="008B61D2">
              <w:t>á</w:t>
            </w:r>
            <w:r w:rsidRPr="008B61D2">
              <w:t xml:space="preserve"> eximido de sus tareas hasta tanto no se solucione la situación con el correspondiente registro</w:t>
            </w:r>
            <w:r w:rsidR="002C2B58" w:rsidRPr="008B61D2">
              <w:t>.</w:t>
            </w:r>
          </w:p>
          <w:p w:rsidR="006D595B" w:rsidRPr="008B61D2" w:rsidRDefault="006D595B" w:rsidP="00521ED4">
            <w:pPr>
              <w:spacing w:line="360" w:lineRule="auto"/>
              <w:jc w:val="both"/>
            </w:pPr>
          </w:p>
          <w:p w:rsidR="006D595B" w:rsidRPr="008B61D2" w:rsidRDefault="006D595B" w:rsidP="00521ED4">
            <w:pPr>
              <w:spacing w:line="360" w:lineRule="auto"/>
              <w:jc w:val="both"/>
              <w:rPr>
                <w:b/>
              </w:rPr>
            </w:pPr>
            <w:r w:rsidRPr="008B61D2">
              <w:t xml:space="preserve">     </w:t>
            </w:r>
            <w:r w:rsidRPr="008B61D2">
              <w:rPr>
                <w:b/>
              </w:rPr>
              <w:t>7.4</w:t>
            </w:r>
            <w:r w:rsidR="0014040C" w:rsidRPr="008B61D2">
              <w:rPr>
                <w:b/>
              </w:rPr>
              <w:t>.</w:t>
            </w:r>
            <w:r w:rsidR="003A627C" w:rsidRPr="008B61D2">
              <w:rPr>
                <w:b/>
              </w:rPr>
              <w:t xml:space="preserve"> Entrega y Archivo de la documentación.</w:t>
            </w:r>
          </w:p>
          <w:p w:rsidR="00CA0057" w:rsidRPr="008B61D2" w:rsidRDefault="00CA0057" w:rsidP="00521ED4">
            <w:pPr>
              <w:spacing w:line="360" w:lineRule="auto"/>
              <w:jc w:val="both"/>
            </w:pPr>
            <w:r w:rsidRPr="008B61D2">
              <w:t>Una vez que el Conductor cuente con la correspondiente renovación de registro</w:t>
            </w:r>
            <w:r w:rsidR="0014040C" w:rsidRPr="008B61D2">
              <w:t>,</w:t>
            </w:r>
            <w:r w:rsidRPr="008B61D2">
              <w:t xml:space="preserve"> el mismo deberá presentarse a </w:t>
            </w:r>
            <w:r w:rsidR="008C5E6F" w:rsidRPr="008B61D2">
              <w:t>S</w:t>
            </w:r>
            <w:r w:rsidR="00075C25" w:rsidRPr="008B61D2">
              <w:t xml:space="preserve">eguridad </w:t>
            </w:r>
            <w:r w:rsidR="008C5E6F" w:rsidRPr="008B61D2">
              <w:t>V</w:t>
            </w:r>
            <w:r w:rsidR="00075C25" w:rsidRPr="008B61D2">
              <w:t>ial, donde se le sacará</w:t>
            </w:r>
            <w:r w:rsidRPr="008B61D2">
              <w:t xml:space="preserve"> una copia</w:t>
            </w:r>
            <w:r w:rsidR="00075C25" w:rsidRPr="008B61D2">
              <w:t xml:space="preserve"> para su archivo en digital, y se actualizará la información en el </w:t>
            </w:r>
            <w:r w:rsidR="00695CB6" w:rsidRPr="008B61D2">
              <w:t>SMG</w:t>
            </w:r>
            <w:r w:rsidR="00075C25" w:rsidRPr="008B61D2">
              <w:t xml:space="preserve">.  </w:t>
            </w:r>
          </w:p>
          <w:p w:rsidR="00F40DFE" w:rsidRPr="008B61D2" w:rsidRDefault="00F40DFE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REGISTROS ASOCIADOS</w:t>
            </w:r>
          </w:p>
          <w:p w:rsidR="003B4841" w:rsidRPr="008B61D2" w:rsidRDefault="00695CB6" w:rsidP="00521ED4">
            <w:pPr>
              <w:spacing w:line="360" w:lineRule="auto"/>
              <w:jc w:val="both"/>
            </w:pPr>
            <w:r w:rsidRPr="008B61D2">
              <w:t>SMG</w:t>
            </w:r>
          </w:p>
          <w:p w:rsidR="00122F2F" w:rsidRPr="008B61D2" w:rsidRDefault="00122F2F" w:rsidP="00521ED4">
            <w:pPr>
              <w:spacing w:line="360" w:lineRule="auto"/>
              <w:jc w:val="both"/>
            </w:pPr>
          </w:p>
          <w:p w:rsidR="002641AB" w:rsidRPr="008B61D2" w:rsidRDefault="002641AB" w:rsidP="00521E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B61D2">
              <w:rPr>
                <w:b/>
              </w:rPr>
              <w:t>ANEXOS</w:t>
            </w:r>
          </w:p>
          <w:p w:rsidR="00291F7B" w:rsidRPr="008B61D2" w:rsidRDefault="002641AB" w:rsidP="00521ED4">
            <w:pPr>
              <w:spacing w:line="360" w:lineRule="auto"/>
              <w:jc w:val="both"/>
              <w:rPr>
                <w:b/>
              </w:rPr>
            </w:pPr>
            <w:r w:rsidRPr="008B61D2">
              <w:t>No aplicabl</w:t>
            </w:r>
            <w:r w:rsidR="00926526" w:rsidRPr="008B61D2">
              <w:t>e</w:t>
            </w:r>
          </w:p>
        </w:tc>
      </w:tr>
    </w:tbl>
    <w:p w:rsidR="007F4DBF" w:rsidRPr="008B61D2" w:rsidRDefault="007F4DBF" w:rsidP="00781353">
      <w:pPr>
        <w:jc w:val="both"/>
        <w:rPr>
          <w:b/>
        </w:rPr>
      </w:pPr>
    </w:p>
    <w:sectPr w:rsidR="007F4DBF" w:rsidRPr="008B61D2" w:rsidSect="00781353">
      <w:headerReference w:type="default" r:id="rId7"/>
      <w:headerReference w:type="first" r:id="rId8"/>
      <w:footerReference w:type="first" r:id="rId9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7B0" w:rsidRDefault="001327B0">
      <w:r>
        <w:separator/>
      </w:r>
    </w:p>
  </w:endnote>
  <w:endnote w:type="continuationSeparator" w:id="0">
    <w:p w:rsidR="001327B0" w:rsidRDefault="0013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6E532B" w:rsidRPr="007B7561" w:rsidTr="006D2F3B">
      <w:trPr>
        <w:trHeight w:val="709"/>
        <w:jc w:val="center"/>
      </w:trPr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 xml:space="preserve">Realizó: </w:t>
          </w:r>
          <w:r w:rsidR="0098790A">
            <w:t>Seguridad Vial y Capacitaciones</w:t>
          </w:r>
        </w:p>
        <w:p w:rsidR="006E532B" w:rsidRPr="007B7561" w:rsidRDefault="006E532B" w:rsidP="00075C25">
          <w:pPr>
            <w:pStyle w:val="Piedepgina"/>
          </w:pPr>
          <w:r w:rsidRPr="007B7561">
            <w:t xml:space="preserve">Fecha: </w:t>
          </w:r>
          <w:r w:rsidR="00075C25">
            <w:t>19</w:t>
          </w:r>
          <w:r w:rsidR="00E27974">
            <w:t>/0</w:t>
          </w:r>
          <w:r w:rsidR="00075C25">
            <w:t>8/2016</w:t>
          </w:r>
        </w:p>
      </w:tc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 xml:space="preserve">Revisó: </w:t>
          </w:r>
          <w:r>
            <w:t>REDI</w:t>
          </w:r>
        </w:p>
        <w:p w:rsidR="006E532B" w:rsidRPr="007B7561" w:rsidRDefault="006E532B" w:rsidP="00075C25">
          <w:pPr>
            <w:pStyle w:val="Piedepgina"/>
          </w:pPr>
          <w:r w:rsidRPr="007B7561">
            <w:t xml:space="preserve">Fecha: </w:t>
          </w:r>
          <w:r w:rsidR="00075C25">
            <w:t>19</w:t>
          </w:r>
          <w:r w:rsidR="00E27974">
            <w:t>/0</w:t>
          </w:r>
          <w:r w:rsidR="00075C25">
            <w:t>8/2016</w:t>
          </w:r>
        </w:p>
      </w:tc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 xml:space="preserve">Aprobó: </w:t>
          </w:r>
          <w:r>
            <w:t>Gerente</w:t>
          </w:r>
        </w:p>
        <w:p w:rsidR="006E532B" w:rsidRPr="007B7561" w:rsidRDefault="006E532B" w:rsidP="00075C25">
          <w:pPr>
            <w:pStyle w:val="Piedepgina"/>
          </w:pPr>
          <w:r>
            <w:t xml:space="preserve">Fecha: </w:t>
          </w:r>
          <w:r w:rsidR="00E27974">
            <w:t>2</w:t>
          </w:r>
          <w:r w:rsidR="00075C25">
            <w:t>2</w:t>
          </w:r>
          <w:r w:rsidR="00E27974">
            <w:t>/0</w:t>
          </w:r>
          <w:r w:rsidR="00075C25">
            <w:t>8/2016</w:t>
          </w:r>
        </w:p>
      </w:tc>
    </w:tr>
    <w:tr w:rsidR="006E532B" w:rsidRPr="007B7561" w:rsidTr="006D2F3B">
      <w:trPr>
        <w:trHeight w:val="594"/>
        <w:jc w:val="center"/>
      </w:trPr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>Firma:</w:t>
          </w:r>
        </w:p>
      </w:tc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>Firma:</w:t>
          </w:r>
        </w:p>
      </w:tc>
      <w:tc>
        <w:tcPr>
          <w:tcW w:w="3419" w:type="dxa"/>
          <w:vAlign w:val="center"/>
        </w:tcPr>
        <w:p w:rsidR="006E532B" w:rsidRPr="007B7561" w:rsidRDefault="006E532B" w:rsidP="006D2F3B">
          <w:pPr>
            <w:pStyle w:val="Piedepgina"/>
          </w:pPr>
          <w:r w:rsidRPr="007B7561">
            <w:t>Firma:</w:t>
          </w:r>
        </w:p>
      </w:tc>
    </w:tr>
  </w:tbl>
  <w:p w:rsidR="006E532B" w:rsidRDefault="006E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7B0" w:rsidRDefault="001327B0">
      <w:r>
        <w:separator/>
      </w:r>
    </w:p>
  </w:footnote>
  <w:footnote w:type="continuationSeparator" w:id="0">
    <w:p w:rsidR="001327B0" w:rsidRDefault="0013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6E532B">
      <w:trPr>
        <w:jc w:val="center"/>
      </w:trPr>
      <w:tc>
        <w:tcPr>
          <w:tcW w:w="3419" w:type="dxa"/>
        </w:tcPr>
        <w:p w:rsidR="006E532B" w:rsidRDefault="001327B0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0.5pt;margin-top:20.3pt;width:123.7pt;height:27.85pt;z-index:251659264">
                <v:imagedata r:id="rId1" o:title=""/>
              </v:shape>
              <o:OLEObject Type="Embed" ProgID="CorelPHOTOPAINT.Image.16" ShapeID="_x0000_s2052" DrawAspect="Content" ObjectID="_1556882902" r:id="rId2"/>
            </w:object>
          </w:r>
        </w:p>
      </w:tc>
      <w:tc>
        <w:tcPr>
          <w:tcW w:w="3419" w:type="dxa"/>
          <w:vAlign w:val="center"/>
        </w:tcPr>
        <w:p w:rsidR="006E532B" w:rsidRDefault="006E532B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CONTROL DE HABILITACIÓN DE CONDUCTORES</w:t>
          </w:r>
        </w:p>
      </w:tc>
      <w:tc>
        <w:tcPr>
          <w:tcW w:w="3419" w:type="dxa"/>
        </w:tcPr>
        <w:p w:rsidR="006E532B" w:rsidRDefault="006E532B">
          <w:pPr>
            <w:pStyle w:val="Encabezado"/>
            <w:spacing w:before="120" w:after="120"/>
          </w:pPr>
          <w:r>
            <w:t>PRO.012.0</w:t>
          </w:r>
          <w:r w:rsidR="009D6F48">
            <w:t>8</w:t>
          </w:r>
        </w:p>
        <w:p w:rsidR="006E532B" w:rsidRDefault="006E532B">
          <w:pPr>
            <w:pStyle w:val="Encabezado"/>
            <w:spacing w:before="120" w:after="120"/>
          </w:pPr>
          <w:r>
            <w:t>Fecha de Vigencia: 2</w:t>
          </w:r>
          <w:r w:rsidR="001735A3">
            <w:t>4</w:t>
          </w:r>
          <w:r>
            <w:t>/0</w:t>
          </w:r>
          <w:r w:rsidR="001735A3">
            <w:t>9</w:t>
          </w:r>
          <w:r>
            <w:t>/201</w:t>
          </w:r>
          <w:r w:rsidR="001735A3">
            <w:t>4</w:t>
          </w:r>
        </w:p>
        <w:p w:rsidR="006E532B" w:rsidRDefault="006E532B">
          <w:pPr>
            <w:pStyle w:val="Encabezado"/>
            <w:spacing w:before="120" w:after="120"/>
          </w:pPr>
          <w:r>
            <w:t xml:space="preserve">Página: </w:t>
          </w:r>
          <w:r w:rsidR="0047350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3503">
            <w:rPr>
              <w:rStyle w:val="Nmerodepgina"/>
            </w:rPr>
            <w:fldChar w:fldCharType="separate"/>
          </w:r>
          <w:r w:rsidR="006C2E72">
            <w:rPr>
              <w:rStyle w:val="Nmerodepgina"/>
              <w:noProof/>
            </w:rPr>
            <w:t>2</w:t>
          </w:r>
          <w:r w:rsidR="0047350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47350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73503">
            <w:rPr>
              <w:rStyle w:val="Nmerodepgina"/>
            </w:rPr>
            <w:fldChar w:fldCharType="separate"/>
          </w:r>
          <w:r w:rsidR="006C2E72">
            <w:rPr>
              <w:rStyle w:val="Nmerodepgina"/>
              <w:noProof/>
            </w:rPr>
            <w:t>2</w:t>
          </w:r>
          <w:r w:rsidR="00473503">
            <w:rPr>
              <w:rStyle w:val="Nmerodepgina"/>
            </w:rPr>
            <w:fldChar w:fldCharType="end"/>
          </w:r>
        </w:p>
      </w:tc>
    </w:tr>
  </w:tbl>
  <w:p w:rsidR="006E532B" w:rsidRPr="003B4841" w:rsidRDefault="006E532B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6E532B" w:rsidTr="006D2F3B">
      <w:trPr>
        <w:jc w:val="center"/>
      </w:trPr>
      <w:tc>
        <w:tcPr>
          <w:tcW w:w="3419" w:type="dxa"/>
        </w:tcPr>
        <w:p w:rsidR="006E532B" w:rsidRDefault="001327B0" w:rsidP="006D2F3B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1" DrawAspect="Content" ObjectID="_1556882903" r:id="rId2"/>
            </w:object>
          </w:r>
        </w:p>
      </w:tc>
      <w:tc>
        <w:tcPr>
          <w:tcW w:w="3419" w:type="dxa"/>
          <w:vAlign w:val="center"/>
        </w:tcPr>
        <w:p w:rsidR="006E532B" w:rsidRDefault="006E532B" w:rsidP="006D2F3B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CONTROL DE HABILITACIÓN DE CONDUCTORES</w:t>
          </w:r>
        </w:p>
      </w:tc>
      <w:tc>
        <w:tcPr>
          <w:tcW w:w="3419" w:type="dxa"/>
        </w:tcPr>
        <w:p w:rsidR="006E532B" w:rsidRDefault="006E532B" w:rsidP="006D2F3B">
          <w:pPr>
            <w:pStyle w:val="Encabezado"/>
            <w:spacing w:before="120" w:after="120"/>
          </w:pPr>
          <w:r>
            <w:t>PRO.012.0</w:t>
          </w:r>
          <w:r w:rsidR="00075C25">
            <w:t>8</w:t>
          </w:r>
        </w:p>
        <w:p w:rsidR="006E532B" w:rsidRDefault="006E532B" w:rsidP="006D2F3B">
          <w:pPr>
            <w:pStyle w:val="Encabezado"/>
            <w:spacing w:before="120" w:after="120"/>
          </w:pPr>
          <w:r>
            <w:t>Fecha de Vigencia: 2</w:t>
          </w:r>
          <w:r w:rsidR="00075C25">
            <w:t>2</w:t>
          </w:r>
          <w:r>
            <w:t>/0</w:t>
          </w:r>
          <w:r w:rsidR="00075C25">
            <w:t>8</w:t>
          </w:r>
          <w:r>
            <w:t>/201</w:t>
          </w:r>
          <w:r w:rsidR="00075C25">
            <w:t>6</w:t>
          </w:r>
        </w:p>
        <w:p w:rsidR="006E532B" w:rsidRDefault="006E532B" w:rsidP="006D2F3B">
          <w:pPr>
            <w:pStyle w:val="Encabezado"/>
            <w:spacing w:before="120" w:after="120"/>
          </w:pPr>
          <w:r>
            <w:t xml:space="preserve">Página: </w:t>
          </w:r>
          <w:r w:rsidR="0047350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3503">
            <w:rPr>
              <w:rStyle w:val="Nmerodepgina"/>
            </w:rPr>
            <w:fldChar w:fldCharType="separate"/>
          </w:r>
          <w:r w:rsidR="006C2E72">
            <w:rPr>
              <w:rStyle w:val="Nmerodepgina"/>
              <w:noProof/>
            </w:rPr>
            <w:t>1</w:t>
          </w:r>
          <w:r w:rsidR="0047350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47350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73503">
            <w:rPr>
              <w:rStyle w:val="Nmerodepgina"/>
            </w:rPr>
            <w:fldChar w:fldCharType="separate"/>
          </w:r>
          <w:r w:rsidR="006C2E72">
            <w:rPr>
              <w:rStyle w:val="Nmerodepgina"/>
              <w:noProof/>
            </w:rPr>
            <w:t>2</w:t>
          </w:r>
          <w:r w:rsidR="00473503">
            <w:rPr>
              <w:rStyle w:val="Nmerodepgina"/>
            </w:rPr>
            <w:fldChar w:fldCharType="end"/>
          </w:r>
        </w:p>
      </w:tc>
    </w:tr>
  </w:tbl>
  <w:p w:rsidR="006E532B" w:rsidRPr="000133C2" w:rsidRDefault="006E532B" w:rsidP="001735A3">
    <w:pPr>
      <w:pStyle w:val="Encabezado"/>
      <w:tabs>
        <w:tab w:val="clear" w:pos="8838"/>
        <w:tab w:val="left" w:pos="5730"/>
      </w:tabs>
      <w:rPr>
        <w:color w:val="808080" w:themeColor="background1" w:themeShade="80"/>
        <w:sz w:val="20"/>
        <w:szCs w:val="20"/>
      </w:rPr>
    </w:pPr>
    <w:r w:rsidRPr="000133C2">
      <w:rPr>
        <w:color w:val="808080" w:themeColor="background1" w:themeShade="80"/>
        <w:sz w:val="20"/>
        <w:szCs w:val="20"/>
      </w:rPr>
      <w:t xml:space="preserve">Se modifica </w:t>
    </w:r>
    <w:r w:rsidR="00075C25">
      <w:rPr>
        <w:color w:val="808080" w:themeColor="background1" w:themeShade="80"/>
        <w:sz w:val="20"/>
        <w:szCs w:val="20"/>
      </w:rPr>
      <w:t>punto 3, 5 7.2, 7.4 y 8</w:t>
    </w:r>
    <w:r w:rsidR="001735A3">
      <w:rPr>
        <w:color w:val="808080" w:themeColor="background1" w:themeShade="8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423C"/>
    <w:multiLevelType w:val="hybridMultilevel"/>
    <w:tmpl w:val="397A7ABE"/>
    <w:lvl w:ilvl="0" w:tplc="5B320482">
      <w:start w:val="1"/>
      <w:numFmt w:val="decimal"/>
      <w:lvlText w:val="%1."/>
      <w:lvlJc w:val="left"/>
      <w:pPr>
        <w:ind w:left="565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285" w:hanging="360"/>
      </w:pPr>
    </w:lvl>
    <w:lvl w:ilvl="2" w:tplc="2C0A001B" w:tentative="1">
      <w:start w:val="1"/>
      <w:numFmt w:val="lowerRoman"/>
      <w:lvlText w:val="%3."/>
      <w:lvlJc w:val="right"/>
      <w:pPr>
        <w:ind w:left="2005" w:hanging="180"/>
      </w:pPr>
    </w:lvl>
    <w:lvl w:ilvl="3" w:tplc="2C0A000F" w:tentative="1">
      <w:start w:val="1"/>
      <w:numFmt w:val="decimal"/>
      <w:lvlText w:val="%4."/>
      <w:lvlJc w:val="left"/>
      <w:pPr>
        <w:ind w:left="2725" w:hanging="360"/>
      </w:pPr>
    </w:lvl>
    <w:lvl w:ilvl="4" w:tplc="2C0A0019" w:tentative="1">
      <w:start w:val="1"/>
      <w:numFmt w:val="lowerLetter"/>
      <w:lvlText w:val="%5."/>
      <w:lvlJc w:val="left"/>
      <w:pPr>
        <w:ind w:left="3445" w:hanging="360"/>
      </w:pPr>
    </w:lvl>
    <w:lvl w:ilvl="5" w:tplc="2C0A001B" w:tentative="1">
      <w:start w:val="1"/>
      <w:numFmt w:val="lowerRoman"/>
      <w:lvlText w:val="%6."/>
      <w:lvlJc w:val="right"/>
      <w:pPr>
        <w:ind w:left="4165" w:hanging="180"/>
      </w:pPr>
    </w:lvl>
    <w:lvl w:ilvl="6" w:tplc="2C0A000F" w:tentative="1">
      <w:start w:val="1"/>
      <w:numFmt w:val="decimal"/>
      <w:lvlText w:val="%7."/>
      <w:lvlJc w:val="left"/>
      <w:pPr>
        <w:ind w:left="4885" w:hanging="360"/>
      </w:pPr>
    </w:lvl>
    <w:lvl w:ilvl="7" w:tplc="2C0A0019" w:tentative="1">
      <w:start w:val="1"/>
      <w:numFmt w:val="lowerLetter"/>
      <w:lvlText w:val="%8."/>
      <w:lvlJc w:val="left"/>
      <w:pPr>
        <w:ind w:left="5605" w:hanging="360"/>
      </w:pPr>
    </w:lvl>
    <w:lvl w:ilvl="8" w:tplc="2C0A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5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5CB267AB"/>
    <w:multiLevelType w:val="hybridMultilevel"/>
    <w:tmpl w:val="917CAD72"/>
    <w:lvl w:ilvl="0" w:tplc="2C0A000F">
      <w:start w:val="1"/>
      <w:numFmt w:val="decimal"/>
      <w:lvlText w:val="%1."/>
      <w:lvlJc w:val="left"/>
      <w:pPr>
        <w:ind w:left="925" w:hanging="360"/>
      </w:pPr>
    </w:lvl>
    <w:lvl w:ilvl="1" w:tplc="2C0A0019" w:tentative="1">
      <w:start w:val="1"/>
      <w:numFmt w:val="lowerLetter"/>
      <w:lvlText w:val="%2."/>
      <w:lvlJc w:val="left"/>
      <w:pPr>
        <w:ind w:left="1645" w:hanging="360"/>
      </w:pPr>
    </w:lvl>
    <w:lvl w:ilvl="2" w:tplc="2C0A001B" w:tentative="1">
      <w:start w:val="1"/>
      <w:numFmt w:val="lowerRoman"/>
      <w:lvlText w:val="%3."/>
      <w:lvlJc w:val="right"/>
      <w:pPr>
        <w:ind w:left="2365" w:hanging="180"/>
      </w:pPr>
    </w:lvl>
    <w:lvl w:ilvl="3" w:tplc="2C0A000F" w:tentative="1">
      <w:start w:val="1"/>
      <w:numFmt w:val="decimal"/>
      <w:lvlText w:val="%4."/>
      <w:lvlJc w:val="left"/>
      <w:pPr>
        <w:ind w:left="3085" w:hanging="360"/>
      </w:pPr>
    </w:lvl>
    <w:lvl w:ilvl="4" w:tplc="2C0A0019" w:tentative="1">
      <w:start w:val="1"/>
      <w:numFmt w:val="lowerLetter"/>
      <w:lvlText w:val="%5."/>
      <w:lvlJc w:val="left"/>
      <w:pPr>
        <w:ind w:left="3805" w:hanging="360"/>
      </w:pPr>
    </w:lvl>
    <w:lvl w:ilvl="5" w:tplc="2C0A001B" w:tentative="1">
      <w:start w:val="1"/>
      <w:numFmt w:val="lowerRoman"/>
      <w:lvlText w:val="%6."/>
      <w:lvlJc w:val="right"/>
      <w:pPr>
        <w:ind w:left="4525" w:hanging="180"/>
      </w:pPr>
    </w:lvl>
    <w:lvl w:ilvl="6" w:tplc="2C0A000F" w:tentative="1">
      <w:start w:val="1"/>
      <w:numFmt w:val="decimal"/>
      <w:lvlText w:val="%7."/>
      <w:lvlJc w:val="left"/>
      <w:pPr>
        <w:ind w:left="5245" w:hanging="360"/>
      </w:pPr>
    </w:lvl>
    <w:lvl w:ilvl="7" w:tplc="2C0A0019" w:tentative="1">
      <w:start w:val="1"/>
      <w:numFmt w:val="lowerLetter"/>
      <w:lvlText w:val="%8."/>
      <w:lvlJc w:val="left"/>
      <w:pPr>
        <w:ind w:left="5965" w:hanging="360"/>
      </w:pPr>
    </w:lvl>
    <w:lvl w:ilvl="8" w:tplc="2C0A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FD"/>
    <w:rsid w:val="00001A6B"/>
    <w:rsid w:val="00003689"/>
    <w:rsid w:val="0000548D"/>
    <w:rsid w:val="00006551"/>
    <w:rsid w:val="000077B8"/>
    <w:rsid w:val="00007A4A"/>
    <w:rsid w:val="000133C2"/>
    <w:rsid w:val="00016967"/>
    <w:rsid w:val="000254BD"/>
    <w:rsid w:val="00026EA2"/>
    <w:rsid w:val="00036B0E"/>
    <w:rsid w:val="00074F0F"/>
    <w:rsid w:val="00075C25"/>
    <w:rsid w:val="00082597"/>
    <w:rsid w:val="00085623"/>
    <w:rsid w:val="0009241F"/>
    <w:rsid w:val="000954C4"/>
    <w:rsid w:val="000A713B"/>
    <w:rsid w:val="000C4542"/>
    <w:rsid w:val="000C7DBA"/>
    <w:rsid w:val="000D6926"/>
    <w:rsid w:val="000E3E40"/>
    <w:rsid w:val="00102269"/>
    <w:rsid w:val="0010247E"/>
    <w:rsid w:val="00105E92"/>
    <w:rsid w:val="001106FE"/>
    <w:rsid w:val="00122F2F"/>
    <w:rsid w:val="0012738F"/>
    <w:rsid w:val="001327B0"/>
    <w:rsid w:val="0014040C"/>
    <w:rsid w:val="001407C7"/>
    <w:rsid w:val="001735A3"/>
    <w:rsid w:val="001818BE"/>
    <w:rsid w:val="00191951"/>
    <w:rsid w:val="001A1CC9"/>
    <w:rsid w:val="001A6189"/>
    <w:rsid w:val="001C2C8D"/>
    <w:rsid w:val="001F0CCB"/>
    <w:rsid w:val="001F68C3"/>
    <w:rsid w:val="0020473A"/>
    <w:rsid w:val="002051BB"/>
    <w:rsid w:val="0020794F"/>
    <w:rsid w:val="00235CD2"/>
    <w:rsid w:val="002453D2"/>
    <w:rsid w:val="00250071"/>
    <w:rsid w:val="00263C86"/>
    <w:rsid w:val="002641AB"/>
    <w:rsid w:val="00275DB5"/>
    <w:rsid w:val="002833F6"/>
    <w:rsid w:val="00291F7B"/>
    <w:rsid w:val="002A1E40"/>
    <w:rsid w:val="002B169C"/>
    <w:rsid w:val="002B1F9E"/>
    <w:rsid w:val="002C2B58"/>
    <w:rsid w:val="002F44EB"/>
    <w:rsid w:val="003071CE"/>
    <w:rsid w:val="003072B8"/>
    <w:rsid w:val="003113BB"/>
    <w:rsid w:val="00311A87"/>
    <w:rsid w:val="00317562"/>
    <w:rsid w:val="0033376D"/>
    <w:rsid w:val="00340222"/>
    <w:rsid w:val="0035376F"/>
    <w:rsid w:val="00357953"/>
    <w:rsid w:val="00370303"/>
    <w:rsid w:val="003A21DA"/>
    <w:rsid w:val="003A530C"/>
    <w:rsid w:val="003A627C"/>
    <w:rsid w:val="003A752B"/>
    <w:rsid w:val="003B27CF"/>
    <w:rsid w:val="003B4618"/>
    <w:rsid w:val="003B4841"/>
    <w:rsid w:val="003D1D31"/>
    <w:rsid w:val="00406AD9"/>
    <w:rsid w:val="00407BB6"/>
    <w:rsid w:val="00420577"/>
    <w:rsid w:val="00452735"/>
    <w:rsid w:val="00473503"/>
    <w:rsid w:val="004772EA"/>
    <w:rsid w:val="00486782"/>
    <w:rsid w:val="00496BEE"/>
    <w:rsid w:val="004D026E"/>
    <w:rsid w:val="004D1501"/>
    <w:rsid w:val="004E6DF4"/>
    <w:rsid w:val="00503094"/>
    <w:rsid w:val="005122F3"/>
    <w:rsid w:val="005157D2"/>
    <w:rsid w:val="00517194"/>
    <w:rsid w:val="00521ED4"/>
    <w:rsid w:val="005257DD"/>
    <w:rsid w:val="0053633F"/>
    <w:rsid w:val="005500D0"/>
    <w:rsid w:val="00560311"/>
    <w:rsid w:val="00560840"/>
    <w:rsid w:val="005640E2"/>
    <w:rsid w:val="005825A3"/>
    <w:rsid w:val="00591706"/>
    <w:rsid w:val="00592782"/>
    <w:rsid w:val="005B03DE"/>
    <w:rsid w:val="005D6CB3"/>
    <w:rsid w:val="005F01EC"/>
    <w:rsid w:val="005F22D5"/>
    <w:rsid w:val="00605BFE"/>
    <w:rsid w:val="0060639F"/>
    <w:rsid w:val="006077BD"/>
    <w:rsid w:val="006174AD"/>
    <w:rsid w:val="00617CEF"/>
    <w:rsid w:val="00631942"/>
    <w:rsid w:val="006354FC"/>
    <w:rsid w:val="006374C2"/>
    <w:rsid w:val="00660B44"/>
    <w:rsid w:val="006714C2"/>
    <w:rsid w:val="00687099"/>
    <w:rsid w:val="00695CB6"/>
    <w:rsid w:val="006B516C"/>
    <w:rsid w:val="006C1C55"/>
    <w:rsid w:val="006C2E72"/>
    <w:rsid w:val="006D2F3B"/>
    <w:rsid w:val="006D595B"/>
    <w:rsid w:val="006E532B"/>
    <w:rsid w:val="006E7564"/>
    <w:rsid w:val="00717F02"/>
    <w:rsid w:val="00734059"/>
    <w:rsid w:val="007373E2"/>
    <w:rsid w:val="0075220B"/>
    <w:rsid w:val="007574D9"/>
    <w:rsid w:val="00762289"/>
    <w:rsid w:val="007644CB"/>
    <w:rsid w:val="007654B8"/>
    <w:rsid w:val="00781353"/>
    <w:rsid w:val="007865D9"/>
    <w:rsid w:val="00793126"/>
    <w:rsid w:val="00793FBC"/>
    <w:rsid w:val="00795DCF"/>
    <w:rsid w:val="007B53FA"/>
    <w:rsid w:val="007B68CE"/>
    <w:rsid w:val="007B7561"/>
    <w:rsid w:val="007C0821"/>
    <w:rsid w:val="007E50ED"/>
    <w:rsid w:val="007F4DBF"/>
    <w:rsid w:val="007F622D"/>
    <w:rsid w:val="007F77A6"/>
    <w:rsid w:val="00817094"/>
    <w:rsid w:val="00823217"/>
    <w:rsid w:val="00824DCA"/>
    <w:rsid w:val="00827EE6"/>
    <w:rsid w:val="008370E0"/>
    <w:rsid w:val="00841B47"/>
    <w:rsid w:val="00842F4B"/>
    <w:rsid w:val="00843E4C"/>
    <w:rsid w:val="00850109"/>
    <w:rsid w:val="0085160B"/>
    <w:rsid w:val="0085422D"/>
    <w:rsid w:val="0085535A"/>
    <w:rsid w:val="00880D69"/>
    <w:rsid w:val="0088308E"/>
    <w:rsid w:val="0089103E"/>
    <w:rsid w:val="008911F2"/>
    <w:rsid w:val="00891395"/>
    <w:rsid w:val="008B2B7E"/>
    <w:rsid w:val="008B61D2"/>
    <w:rsid w:val="008C13F5"/>
    <w:rsid w:val="008C5E6F"/>
    <w:rsid w:val="008E7F7E"/>
    <w:rsid w:val="008F2286"/>
    <w:rsid w:val="008F3A45"/>
    <w:rsid w:val="00926526"/>
    <w:rsid w:val="0092705C"/>
    <w:rsid w:val="009441E6"/>
    <w:rsid w:val="00965E73"/>
    <w:rsid w:val="00970886"/>
    <w:rsid w:val="00984EEA"/>
    <w:rsid w:val="0098790A"/>
    <w:rsid w:val="00996008"/>
    <w:rsid w:val="009C2F57"/>
    <w:rsid w:val="009D6F48"/>
    <w:rsid w:val="009F297D"/>
    <w:rsid w:val="00A3353A"/>
    <w:rsid w:val="00A535BC"/>
    <w:rsid w:val="00A57285"/>
    <w:rsid w:val="00A731E9"/>
    <w:rsid w:val="00A76540"/>
    <w:rsid w:val="00A81ABA"/>
    <w:rsid w:val="00A854EF"/>
    <w:rsid w:val="00A96A83"/>
    <w:rsid w:val="00AA08DE"/>
    <w:rsid w:val="00AA220B"/>
    <w:rsid w:val="00AA44A3"/>
    <w:rsid w:val="00AA56F7"/>
    <w:rsid w:val="00AB649C"/>
    <w:rsid w:val="00AC4901"/>
    <w:rsid w:val="00AC58C5"/>
    <w:rsid w:val="00AE0E0E"/>
    <w:rsid w:val="00AE172E"/>
    <w:rsid w:val="00AE1E3D"/>
    <w:rsid w:val="00AE70AF"/>
    <w:rsid w:val="00AE7CC6"/>
    <w:rsid w:val="00AF272D"/>
    <w:rsid w:val="00B069CC"/>
    <w:rsid w:val="00B1331F"/>
    <w:rsid w:val="00B21C32"/>
    <w:rsid w:val="00B37132"/>
    <w:rsid w:val="00B50F5B"/>
    <w:rsid w:val="00B5133D"/>
    <w:rsid w:val="00B54258"/>
    <w:rsid w:val="00B66B2F"/>
    <w:rsid w:val="00B67CC2"/>
    <w:rsid w:val="00B765F5"/>
    <w:rsid w:val="00B8204C"/>
    <w:rsid w:val="00B977C4"/>
    <w:rsid w:val="00BA1442"/>
    <w:rsid w:val="00BA5287"/>
    <w:rsid w:val="00BA77B3"/>
    <w:rsid w:val="00BB4A3E"/>
    <w:rsid w:val="00BB4D2C"/>
    <w:rsid w:val="00BB7F6D"/>
    <w:rsid w:val="00BC5782"/>
    <w:rsid w:val="00BF5CC3"/>
    <w:rsid w:val="00C208E3"/>
    <w:rsid w:val="00C23DF0"/>
    <w:rsid w:val="00C32B8B"/>
    <w:rsid w:val="00C4054A"/>
    <w:rsid w:val="00C4170D"/>
    <w:rsid w:val="00C43566"/>
    <w:rsid w:val="00C43BD6"/>
    <w:rsid w:val="00C47B9F"/>
    <w:rsid w:val="00C73C23"/>
    <w:rsid w:val="00C76BC5"/>
    <w:rsid w:val="00C8701E"/>
    <w:rsid w:val="00C87F0E"/>
    <w:rsid w:val="00C954EC"/>
    <w:rsid w:val="00CA0057"/>
    <w:rsid w:val="00CB1903"/>
    <w:rsid w:val="00CB3637"/>
    <w:rsid w:val="00CC10EE"/>
    <w:rsid w:val="00CE013F"/>
    <w:rsid w:val="00CF0233"/>
    <w:rsid w:val="00CF70FD"/>
    <w:rsid w:val="00D07C12"/>
    <w:rsid w:val="00D136CE"/>
    <w:rsid w:val="00D17EFF"/>
    <w:rsid w:val="00D3207B"/>
    <w:rsid w:val="00D37BE5"/>
    <w:rsid w:val="00D509F4"/>
    <w:rsid w:val="00D52E7D"/>
    <w:rsid w:val="00D546AC"/>
    <w:rsid w:val="00D631DF"/>
    <w:rsid w:val="00D70026"/>
    <w:rsid w:val="00D91808"/>
    <w:rsid w:val="00DA6E4B"/>
    <w:rsid w:val="00DB0805"/>
    <w:rsid w:val="00DC7ECF"/>
    <w:rsid w:val="00DE13B3"/>
    <w:rsid w:val="00DF2F87"/>
    <w:rsid w:val="00E27974"/>
    <w:rsid w:val="00E279AE"/>
    <w:rsid w:val="00E31F10"/>
    <w:rsid w:val="00E646F1"/>
    <w:rsid w:val="00E66007"/>
    <w:rsid w:val="00E701F7"/>
    <w:rsid w:val="00E74DFC"/>
    <w:rsid w:val="00E8046D"/>
    <w:rsid w:val="00E9291A"/>
    <w:rsid w:val="00E92F52"/>
    <w:rsid w:val="00E94FE3"/>
    <w:rsid w:val="00E96A60"/>
    <w:rsid w:val="00EB31AA"/>
    <w:rsid w:val="00EC4F97"/>
    <w:rsid w:val="00EC7828"/>
    <w:rsid w:val="00F0417D"/>
    <w:rsid w:val="00F11C11"/>
    <w:rsid w:val="00F1417F"/>
    <w:rsid w:val="00F15EFD"/>
    <w:rsid w:val="00F22588"/>
    <w:rsid w:val="00F27FD3"/>
    <w:rsid w:val="00F373CA"/>
    <w:rsid w:val="00F37C26"/>
    <w:rsid w:val="00F40DFE"/>
    <w:rsid w:val="00F438D6"/>
    <w:rsid w:val="00F56786"/>
    <w:rsid w:val="00F717F9"/>
    <w:rsid w:val="00F825D0"/>
    <w:rsid w:val="00F91ABD"/>
    <w:rsid w:val="00F92A6E"/>
    <w:rsid w:val="00F9448B"/>
    <w:rsid w:val="00FB3089"/>
    <w:rsid w:val="00FC1C09"/>
    <w:rsid w:val="00FC5167"/>
    <w:rsid w:val="00FD1C72"/>
    <w:rsid w:val="00FE424D"/>
    <w:rsid w:val="00FE76E3"/>
    <w:rsid w:val="00FF2879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  <w15:docId w15:val="{B05B8EC4-F3DF-4F2B-BFD9-0E81E2D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1696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16967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016967"/>
  </w:style>
  <w:style w:type="character" w:styleId="Refdecomentario">
    <w:name w:val="annotation reference"/>
    <w:semiHidden/>
    <w:rsid w:val="00016967"/>
    <w:rPr>
      <w:sz w:val="16"/>
      <w:szCs w:val="16"/>
    </w:rPr>
  </w:style>
  <w:style w:type="paragraph" w:styleId="Textocomentario">
    <w:name w:val="annotation text"/>
    <w:basedOn w:val="Normal"/>
    <w:semiHidden/>
    <w:rsid w:val="000169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016967"/>
    <w:rPr>
      <w:b/>
      <w:bCs/>
    </w:rPr>
  </w:style>
  <w:style w:type="paragraph" w:styleId="Textodeglobo">
    <w:name w:val="Balloon Text"/>
    <w:basedOn w:val="Normal"/>
    <w:semiHidden/>
    <w:rsid w:val="000169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Eduardo A.</cp:lastModifiedBy>
  <cp:revision>18</cp:revision>
  <cp:lastPrinted>2016-10-21T15:15:00Z</cp:lastPrinted>
  <dcterms:created xsi:type="dcterms:W3CDTF">2016-08-19T11:32:00Z</dcterms:created>
  <dcterms:modified xsi:type="dcterms:W3CDTF">2017-05-21T17:42:00Z</dcterms:modified>
</cp:coreProperties>
</file>