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6" w:type="dxa"/>
        <w:jc w:val="center"/>
        <w:tblInd w:w="-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6"/>
      </w:tblGrid>
      <w:tr w:rsidR="00B50F5B" w:rsidRPr="000E2874" w:rsidTr="00C77654">
        <w:trPr>
          <w:trHeight w:val="12616"/>
          <w:jc w:val="center"/>
        </w:trPr>
        <w:tc>
          <w:tcPr>
            <w:tcW w:w="10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2D99" w:rsidRDefault="00372D99" w:rsidP="00372D99">
            <w:pPr>
              <w:rPr>
                <w:b/>
              </w:rPr>
            </w:pPr>
          </w:p>
          <w:p w:rsidR="003113BB" w:rsidRDefault="00372D99" w:rsidP="001F0E3E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OBJETIVO:</w:t>
            </w:r>
          </w:p>
          <w:p w:rsidR="00AA2904" w:rsidRPr="000E2874" w:rsidRDefault="00AA2904" w:rsidP="00372D99"/>
          <w:p w:rsidR="00AA2904" w:rsidRPr="000E2874" w:rsidRDefault="00AA2904" w:rsidP="001F0E3E">
            <w:pPr>
              <w:ind w:left="360"/>
            </w:pPr>
            <w:r w:rsidRPr="000E2874">
              <w:t>Definir las condiciones bajo las cuales se debe realizar la descarga de Gas-</w:t>
            </w:r>
            <w:proofErr w:type="spellStart"/>
            <w:r w:rsidRPr="000E2874">
              <w:t>Oil</w:t>
            </w:r>
            <w:proofErr w:type="spellEnd"/>
            <w:r w:rsidRPr="000E2874">
              <w:t xml:space="preserve"> en las instalaciones de la empresa de forma segura.</w:t>
            </w:r>
          </w:p>
          <w:p w:rsidR="00AA2904" w:rsidRPr="000E2874" w:rsidRDefault="00AA2904" w:rsidP="001F0E3E">
            <w:pPr>
              <w:ind w:left="360"/>
            </w:pPr>
          </w:p>
          <w:p w:rsidR="00AA2904" w:rsidRPr="001F0E3E" w:rsidRDefault="00AA2904" w:rsidP="001F0E3E">
            <w:pPr>
              <w:numPr>
                <w:ilvl w:val="0"/>
                <w:numId w:val="3"/>
              </w:numPr>
              <w:rPr>
                <w:b/>
              </w:rPr>
            </w:pPr>
            <w:r w:rsidRPr="001F0E3E">
              <w:rPr>
                <w:b/>
              </w:rPr>
              <w:t>ALCANCE:</w:t>
            </w:r>
          </w:p>
          <w:p w:rsidR="00AA2904" w:rsidRPr="001F0E3E" w:rsidRDefault="00AA2904" w:rsidP="00AA2904">
            <w:pPr>
              <w:rPr>
                <w:b/>
              </w:rPr>
            </w:pPr>
          </w:p>
          <w:p w:rsidR="00093690" w:rsidRDefault="00AA2904" w:rsidP="001F0E3E">
            <w:pPr>
              <w:ind w:left="365" w:hanging="365"/>
            </w:pPr>
            <w:r w:rsidRPr="001F0E3E">
              <w:rPr>
                <w:b/>
              </w:rPr>
              <w:t xml:space="preserve">      </w:t>
            </w:r>
            <w:r w:rsidRPr="000E2874">
              <w:t>Este procedimiento es aplicable a todo el personal</w:t>
            </w:r>
            <w:r w:rsidR="00170079">
              <w:t xml:space="preserve"> de Master Bus S.A</w:t>
            </w:r>
            <w:r w:rsidR="00093690" w:rsidRPr="000E2874">
              <w:t xml:space="preserve"> y al proveedor de combustible que</w:t>
            </w:r>
            <w:r w:rsidR="00170079">
              <w:t xml:space="preserve"> ha</w:t>
            </w:r>
            <w:r w:rsidR="00F05F76" w:rsidRPr="000E2874">
              <w:t>bitualmente</w:t>
            </w:r>
            <w:r w:rsidR="00093690" w:rsidRPr="000E2874">
              <w:t xml:space="preserve"> están involucrados en  las operaciones de descarga de </w:t>
            </w:r>
            <w:r w:rsidR="00F05F76" w:rsidRPr="000E2874">
              <w:t>combustible</w:t>
            </w:r>
            <w:r w:rsidR="00A92BAD">
              <w:t xml:space="preserve"> en los</w:t>
            </w:r>
            <w:r w:rsidR="00C84CD9">
              <w:t xml:space="preserve"> predio</w:t>
            </w:r>
            <w:r w:rsidR="00A92BAD">
              <w:t>s</w:t>
            </w:r>
            <w:r w:rsidR="00C84CD9">
              <w:t xml:space="preserve"> de Zarate</w:t>
            </w:r>
            <w:r w:rsidR="00A92BAD">
              <w:t xml:space="preserve"> y Campana.</w:t>
            </w:r>
          </w:p>
          <w:p w:rsidR="002D792D" w:rsidRPr="000E2874" w:rsidRDefault="002D792D" w:rsidP="000600BF"/>
          <w:p w:rsidR="00093690" w:rsidRPr="001F0E3E" w:rsidRDefault="00093690" w:rsidP="001F0E3E">
            <w:pPr>
              <w:numPr>
                <w:ilvl w:val="0"/>
                <w:numId w:val="3"/>
              </w:numPr>
              <w:rPr>
                <w:b/>
              </w:rPr>
            </w:pPr>
            <w:r w:rsidRPr="001F0E3E">
              <w:rPr>
                <w:b/>
              </w:rPr>
              <w:t>REFERENCIAS:</w:t>
            </w:r>
          </w:p>
          <w:p w:rsidR="00093690" w:rsidRPr="001F0E3E" w:rsidRDefault="00093690" w:rsidP="00093690">
            <w:pPr>
              <w:rPr>
                <w:b/>
              </w:rPr>
            </w:pPr>
          </w:p>
          <w:p w:rsidR="00093690" w:rsidRPr="000E2874" w:rsidRDefault="00093690" w:rsidP="00093690">
            <w:r w:rsidRPr="001F0E3E">
              <w:rPr>
                <w:b/>
              </w:rPr>
              <w:t xml:space="preserve">       </w:t>
            </w:r>
            <w:r w:rsidRPr="000E2874">
              <w:t>No aplicable</w:t>
            </w:r>
          </w:p>
          <w:p w:rsidR="00093690" w:rsidRPr="000E2874" w:rsidRDefault="00093690" w:rsidP="00093690"/>
          <w:p w:rsidR="00093690" w:rsidRPr="001F0E3E" w:rsidRDefault="00093690" w:rsidP="001F0E3E">
            <w:pPr>
              <w:numPr>
                <w:ilvl w:val="0"/>
                <w:numId w:val="3"/>
              </w:numPr>
              <w:rPr>
                <w:b/>
              </w:rPr>
            </w:pPr>
            <w:r w:rsidRPr="001F0E3E">
              <w:rPr>
                <w:b/>
              </w:rPr>
              <w:t>DEFINICIONES:</w:t>
            </w:r>
          </w:p>
          <w:p w:rsidR="00093690" w:rsidRPr="001F0E3E" w:rsidRDefault="00093690" w:rsidP="00093690">
            <w:pPr>
              <w:rPr>
                <w:b/>
              </w:rPr>
            </w:pPr>
          </w:p>
          <w:p w:rsidR="00093690" w:rsidRPr="000E2874" w:rsidRDefault="00093690" w:rsidP="00093690">
            <w:r w:rsidRPr="001F0E3E">
              <w:rPr>
                <w:b/>
              </w:rPr>
              <w:t xml:space="preserve">       </w:t>
            </w:r>
            <w:r w:rsidRPr="000E2874">
              <w:t xml:space="preserve">No aplicable </w:t>
            </w:r>
          </w:p>
          <w:p w:rsidR="00862597" w:rsidRPr="000E2874" w:rsidRDefault="00862597" w:rsidP="00093690"/>
          <w:p w:rsidR="00862597" w:rsidRPr="001F0E3E" w:rsidRDefault="00862597" w:rsidP="001F0E3E">
            <w:pPr>
              <w:numPr>
                <w:ilvl w:val="0"/>
                <w:numId w:val="3"/>
              </w:numPr>
              <w:rPr>
                <w:b/>
              </w:rPr>
            </w:pPr>
            <w:r w:rsidRPr="001F0E3E">
              <w:rPr>
                <w:b/>
              </w:rPr>
              <w:t>ABREVIATURAS:</w:t>
            </w:r>
          </w:p>
          <w:p w:rsidR="00862597" w:rsidRPr="001F0E3E" w:rsidRDefault="00862597" w:rsidP="00862597">
            <w:pPr>
              <w:rPr>
                <w:b/>
              </w:rPr>
            </w:pPr>
          </w:p>
          <w:p w:rsidR="00862597" w:rsidRPr="000E2874" w:rsidRDefault="00862597" w:rsidP="00862597">
            <w:r w:rsidRPr="001F0E3E">
              <w:rPr>
                <w:b/>
              </w:rPr>
              <w:t xml:space="preserve">       </w:t>
            </w:r>
            <w:r w:rsidR="00017465" w:rsidRPr="00E97605">
              <w:t>Personal Designado</w:t>
            </w:r>
            <w:r w:rsidR="00017465">
              <w:t>:</w:t>
            </w:r>
            <w:r w:rsidR="00017465" w:rsidRPr="00E97605">
              <w:t xml:space="preserve"> Personal Designado para Operaciones con Combustible</w:t>
            </w:r>
          </w:p>
          <w:p w:rsidR="003113BB" w:rsidRPr="000E2874" w:rsidRDefault="003113BB" w:rsidP="00B67CC2"/>
          <w:p w:rsidR="00862597" w:rsidRPr="001F0E3E" w:rsidRDefault="00862597" w:rsidP="001F0E3E">
            <w:pPr>
              <w:numPr>
                <w:ilvl w:val="0"/>
                <w:numId w:val="3"/>
              </w:numPr>
              <w:rPr>
                <w:b/>
              </w:rPr>
            </w:pPr>
            <w:r w:rsidRPr="001F0E3E">
              <w:rPr>
                <w:b/>
              </w:rPr>
              <w:t>RESPONSABILIDADES:</w:t>
            </w:r>
          </w:p>
          <w:p w:rsidR="00862597" w:rsidRPr="00372D99" w:rsidRDefault="00862597" w:rsidP="00862597"/>
          <w:p w:rsidR="001973ED" w:rsidRPr="00E97605" w:rsidRDefault="00162326" w:rsidP="007A59E0">
            <w:pPr>
              <w:ind w:left="458"/>
            </w:pPr>
            <w:r w:rsidRPr="00E97605">
              <w:t>Personal De</w:t>
            </w:r>
            <w:r w:rsidR="00372D99" w:rsidRPr="00E97605">
              <w:t xml:space="preserve">signado </w:t>
            </w:r>
            <w:r w:rsidRPr="00E97605">
              <w:t>para Operaciones con C</w:t>
            </w:r>
            <w:r w:rsidR="00E97605" w:rsidRPr="00E97605">
              <w:t xml:space="preserve">ombustible </w:t>
            </w:r>
            <w:r w:rsidR="00DA47E6" w:rsidRPr="00E97605">
              <w:t>(</w:t>
            </w:r>
            <w:r w:rsidR="00E97605" w:rsidRPr="00E97605">
              <w:t xml:space="preserve">ver </w:t>
            </w:r>
            <w:r w:rsidR="00DA47E6" w:rsidRPr="00E97605">
              <w:t>FORM.</w:t>
            </w:r>
            <w:r w:rsidR="00E97605" w:rsidRPr="00E97605">
              <w:t>144</w:t>
            </w:r>
            <w:r w:rsidR="00DA47E6" w:rsidRPr="00E97605">
              <w:t xml:space="preserve"> </w:t>
            </w:r>
            <w:r w:rsidR="00E97605" w:rsidRPr="00E97605">
              <w:t>PLANIFICACIÓN Y REGISTRO GENERAL DE CAPACITACIONES)</w:t>
            </w:r>
          </w:p>
          <w:p w:rsidR="00862597" w:rsidRPr="00E97605" w:rsidRDefault="00862597" w:rsidP="00862597"/>
          <w:p w:rsidR="00862597" w:rsidRPr="001F0E3E" w:rsidRDefault="00CE494F" w:rsidP="001F0E3E">
            <w:pPr>
              <w:numPr>
                <w:ilvl w:val="0"/>
                <w:numId w:val="3"/>
              </w:numPr>
              <w:rPr>
                <w:b/>
              </w:rPr>
            </w:pPr>
            <w:r w:rsidRPr="001F0E3E">
              <w:rPr>
                <w:b/>
              </w:rPr>
              <w:t>PROCEDIMIENTO:</w:t>
            </w:r>
          </w:p>
          <w:p w:rsidR="00CE494F" w:rsidRPr="001F0E3E" w:rsidRDefault="00CE494F" w:rsidP="00170079">
            <w:pPr>
              <w:jc w:val="both"/>
              <w:rPr>
                <w:b/>
              </w:rPr>
            </w:pPr>
          </w:p>
          <w:p w:rsidR="00CE494F" w:rsidRPr="000E2874" w:rsidRDefault="00C354EC" w:rsidP="000600BF">
            <w:pPr>
              <w:numPr>
                <w:ilvl w:val="1"/>
                <w:numId w:val="3"/>
              </w:numPr>
              <w:jc w:val="both"/>
            </w:pPr>
            <w:r w:rsidRPr="000E2874">
              <w:t>Al arribar el camión cisterna al punto de descarga, se debe verificar el nivel de existencia para asegurarse que se dispone de la capacidad adecuada para recibir el producto.</w:t>
            </w:r>
          </w:p>
          <w:p w:rsidR="001973ED" w:rsidRPr="00372D99" w:rsidRDefault="001B4663" w:rsidP="000600BF">
            <w:pPr>
              <w:ind w:left="742"/>
              <w:jc w:val="both"/>
            </w:pPr>
            <w:r w:rsidRPr="000E2874">
              <w:t>Una vez estacionado el camión-cisterna y habiendo deten</w:t>
            </w:r>
            <w:r w:rsidR="00170079">
              <w:t xml:space="preserve">ido el conductor el motor, se </w:t>
            </w:r>
            <w:r w:rsidRPr="000E2874">
              <w:t xml:space="preserve">procederá   a colocar delante y detrás de la unidad las </w:t>
            </w:r>
            <w:r w:rsidR="00170079">
              <w:t xml:space="preserve">vallas indicadoras de “PELIGRO” </w:t>
            </w:r>
            <w:r w:rsidR="00AB1FA8">
              <w:t xml:space="preserve">y </w:t>
            </w:r>
            <w:r w:rsidR="00162326">
              <w:t>“PROHIBIDO</w:t>
            </w:r>
            <w:r w:rsidR="00AB1FA8">
              <w:t xml:space="preserve"> FUMAR”</w:t>
            </w:r>
            <w:r w:rsidR="00372D99">
              <w:t>. T</w:t>
            </w:r>
            <w:r w:rsidR="00C77654" w:rsidRPr="00372D99">
              <w:t xml:space="preserve">ambién se deberá colocar </w:t>
            </w:r>
            <w:r w:rsidR="00170079" w:rsidRPr="00372D99">
              <w:t>la bandeja colectora de derrames debajo de las válvulas</w:t>
            </w:r>
            <w:r w:rsidR="00C77654" w:rsidRPr="00372D99">
              <w:t xml:space="preserve"> de descar</w:t>
            </w:r>
            <w:r w:rsidR="00170079" w:rsidRPr="00372D99">
              <w:t xml:space="preserve">gas. </w:t>
            </w:r>
            <w:r w:rsidR="00C77654" w:rsidRPr="00372D99">
              <w:t>Así</w:t>
            </w:r>
            <w:r w:rsidR="00170079" w:rsidRPr="00372D99">
              <w:t xml:space="preserve"> mismo verificar que </w:t>
            </w:r>
            <w:r w:rsidR="001973ED" w:rsidRPr="00372D99">
              <w:t>los</w:t>
            </w:r>
            <w:r w:rsidR="00170079" w:rsidRPr="00372D99">
              <w:t xml:space="preserve"> </w:t>
            </w:r>
            <w:r w:rsidR="00A92BAD">
              <w:t>e</w:t>
            </w:r>
            <w:r w:rsidR="00F31AC8" w:rsidRPr="00372D99">
              <w:t>xtintores</w:t>
            </w:r>
            <w:r w:rsidR="00170079" w:rsidRPr="00372D99">
              <w:t xml:space="preserve"> de carga </w:t>
            </w:r>
            <w:r w:rsidR="00372D99">
              <w:t xml:space="preserve">estén </w:t>
            </w:r>
            <w:r w:rsidR="00170079" w:rsidRPr="00372D99">
              <w:t>disponible</w:t>
            </w:r>
            <w:r w:rsidR="00372D99">
              <w:t>s</w:t>
            </w:r>
            <w:r w:rsidR="00170079" w:rsidRPr="00372D99">
              <w:t xml:space="preserve"> y que se cuente con</w:t>
            </w:r>
          </w:p>
          <w:p w:rsidR="002570E7" w:rsidRPr="00372D99" w:rsidRDefault="00170079" w:rsidP="000600BF">
            <w:pPr>
              <w:ind w:left="742"/>
              <w:jc w:val="both"/>
            </w:pPr>
            <w:proofErr w:type="gramStart"/>
            <w:r w:rsidRPr="00372D99">
              <w:t>material</w:t>
            </w:r>
            <w:proofErr w:type="gramEnd"/>
            <w:r w:rsidRPr="00372D99">
              <w:t xml:space="preserve"> absorbente en cantidad suficiente para atender un derrame. </w:t>
            </w:r>
            <w:r w:rsidR="001973ED" w:rsidRPr="00372D99">
              <w:t>V</w:t>
            </w:r>
            <w:r w:rsidR="001B4663" w:rsidRPr="00372D99">
              <w:t>erific</w:t>
            </w:r>
            <w:r w:rsidR="00372D99">
              <w:t xml:space="preserve">ar </w:t>
            </w:r>
            <w:r w:rsidR="001973ED" w:rsidRPr="00372D99">
              <w:t>también la</w:t>
            </w:r>
            <w:r w:rsidR="001B4663" w:rsidRPr="00372D99">
              <w:t xml:space="preserve"> </w:t>
            </w:r>
            <w:r w:rsidR="00372D99">
              <w:t xml:space="preserve">  </w:t>
            </w:r>
            <w:r w:rsidR="001973ED" w:rsidRPr="00372D99">
              <w:t xml:space="preserve">disponibilidad del </w:t>
            </w:r>
            <w:r w:rsidR="001B4663" w:rsidRPr="00372D99">
              <w:t xml:space="preserve"> </w:t>
            </w:r>
            <w:r w:rsidR="001973ED" w:rsidRPr="00372D99">
              <w:t>extintor</w:t>
            </w:r>
            <w:r w:rsidR="001B4663" w:rsidRPr="00372D99">
              <w:t xml:space="preserve"> de </w:t>
            </w:r>
            <w:r w:rsidR="001973ED" w:rsidRPr="00372D99">
              <w:t>carro.</w:t>
            </w:r>
          </w:p>
          <w:p w:rsidR="00D273BA" w:rsidRPr="000E2874" w:rsidRDefault="00D273BA" w:rsidP="000600BF">
            <w:pPr>
              <w:ind w:left="742"/>
              <w:jc w:val="both"/>
            </w:pPr>
            <w:r w:rsidRPr="000E2874">
              <w:t xml:space="preserve">    </w:t>
            </w:r>
          </w:p>
          <w:p w:rsidR="003113BB" w:rsidRPr="000E2874" w:rsidRDefault="00381C42" w:rsidP="000600BF">
            <w:pPr>
              <w:numPr>
                <w:ilvl w:val="1"/>
                <w:numId w:val="3"/>
              </w:numPr>
              <w:jc w:val="both"/>
            </w:pPr>
            <w:r w:rsidRPr="000E2874">
              <w:t xml:space="preserve">A continuación se procederá a conectar la puesta a tierra para descargas de electricidad estática </w:t>
            </w:r>
            <w:r w:rsidRPr="000E2874">
              <w:lastRenderedPageBreak/>
              <w:t>asegurando la pinza firmemente a una pieza metálica del camión-cisterna.</w:t>
            </w:r>
          </w:p>
          <w:p w:rsidR="00381C42" w:rsidRPr="000E2874" w:rsidRDefault="00381C42" w:rsidP="001F0E3E">
            <w:pPr>
              <w:ind w:left="360"/>
            </w:pPr>
          </w:p>
          <w:p w:rsidR="00381C42" w:rsidRPr="000E2874" w:rsidRDefault="00381C42" w:rsidP="000600BF">
            <w:pPr>
              <w:numPr>
                <w:ilvl w:val="1"/>
                <w:numId w:val="3"/>
              </w:numPr>
              <w:jc w:val="both"/>
            </w:pPr>
            <w:r w:rsidRPr="000E2874">
              <w:t xml:space="preserve">Una vez determinado con el </w:t>
            </w:r>
            <w:r w:rsidR="00017465">
              <w:t>proveedor</w:t>
            </w:r>
            <w:r w:rsidRPr="000E2874">
              <w:t xml:space="preserve"> cuales son las cisternas a descargar, el </w:t>
            </w:r>
            <w:r w:rsidR="00017465" w:rsidRPr="00E97605">
              <w:t>Personal Designado</w:t>
            </w:r>
            <w:r w:rsidR="00D273BA" w:rsidRPr="000E2874">
              <w:t xml:space="preserve"> deberá </w:t>
            </w:r>
            <w:r w:rsidR="0047171C" w:rsidRPr="000E2874">
              <w:t>abrir las tapas y las válvulas  de descarga correspondientes v</w:t>
            </w:r>
            <w:r w:rsidR="00D273BA" w:rsidRPr="000E2874">
              <w:t xml:space="preserve">erificando que el nivel del </w:t>
            </w:r>
            <w:r w:rsidR="0047171C" w:rsidRPr="000E2874">
              <w:t xml:space="preserve">producto se encuentre enrasado con la campana en ± </w:t>
            </w:r>
            <w:smartTag w:uri="urn:schemas-microsoft-com:office:smarttags" w:element="metricconverter">
              <w:smartTagPr>
                <w:attr w:name="ProductID" w:val="3 mm"/>
              </w:smartTagPr>
              <w:r w:rsidR="0047171C" w:rsidRPr="000E2874">
                <w:t>3 mm</w:t>
              </w:r>
            </w:smartTag>
            <w:r w:rsidR="0047171C" w:rsidRPr="000E2874">
              <w:t>.</w:t>
            </w:r>
            <w:r w:rsidR="00D273BA" w:rsidRPr="000E2874">
              <w:t xml:space="preserve"> En caso de observ</w:t>
            </w:r>
            <w:r w:rsidR="000E2874">
              <w:t xml:space="preserve">arse alguna </w:t>
            </w:r>
            <w:r w:rsidR="0047171C" w:rsidRPr="000E2874">
              <w:t>anomalía deb</w:t>
            </w:r>
            <w:r w:rsidR="00A92BAD">
              <w:t>erá informar de inmediato a su s</w:t>
            </w:r>
            <w:r w:rsidR="0047171C" w:rsidRPr="000E2874">
              <w:t>uperior.</w:t>
            </w:r>
          </w:p>
          <w:p w:rsidR="0047171C" w:rsidRPr="000E2874" w:rsidRDefault="0047171C" w:rsidP="000600BF">
            <w:pPr>
              <w:jc w:val="both"/>
            </w:pPr>
          </w:p>
          <w:p w:rsidR="00CD1584" w:rsidRPr="000E2874" w:rsidRDefault="0047171C" w:rsidP="000600BF">
            <w:pPr>
              <w:numPr>
                <w:ilvl w:val="1"/>
                <w:numId w:val="3"/>
              </w:numPr>
              <w:jc w:val="both"/>
            </w:pPr>
            <w:r w:rsidRPr="000E2874">
              <w:t xml:space="preserve">El </w:t>
            </w:r>
            <w:r w:rsidR="00017465">
              <w:t>proveedor</w:t>
            </w:r>
            <w:r w:rsidRPr="000E2874">
              <w:t xml:space="preserve"> conectará la manguera de descarga a la válvula c</w:t>
            </w:r>
            <w:r w:rsidR="00D273BA" w:rsidRPr="000E2874">
              <w:t xml:space="preserve">orrespondiente a la cisterna </w:t>
            </w:r>
            <w:r w:rsidRPr="000E2874">
              <w:t xml:space="preserve">elegida y volcará aproximadamente </w:t>
            </w:r>
            <w:smartTag w:uri="urn:schemas-microsoft-com:office:smarttags" w:element="metricconverter">
              <w:smartTagPr>
                <w:attr w:name="ProductID" w:val="50 litros"/>
              </w:smartTagPr>
              <w:r w:rsidRPr="000E2874">
                <w:t>50 litros</w:t>
              </w:r>
            </w:smartTag>
            <w:r w:rsidRPr="000E2874">
              <w:t xml:space="preserve"> al tanque de expurg</w:t>
            </w:r>
            <w:r w:rsidR="00D273BA" w:rsidRPr="000E2874">
              <w:t xml:space="preserve">ue. Se observará visualmente </w:t>
            </w:r>
            <w:r w:rsidRPr="000E2874">
              <w:t>el aspecto del Gas-</w:t>
            </w:r>
            <w:proofErr w:type="spellStart"/>
            <w:r w:rsidRPr="000E2874">
              <w:t>Oil</w:t>
            </w:r>
            <w:proofErr w:type="spellEnd"/>
            <w:r w:rsidRPr="000E2874">
              <w:t xml:space="preserve"> luego de transcurrido un tiempo prudencial que permita que la superficie esté quieta y sin burbujas</w:t>
            </w:r>
            <w:r w:rsidR="00CD1584" w:rsidRPr="000E2874">
              <w:t>; si no se observan anomalías se procederá a conectar la manguera a la bo</w:t>
            </w:r>
            <w:r w:rsidR="00D9413B">
              <w:t xml:space="preserve">ca de descarga del tanque y se </w:t>
            </w:r>
            <w:r w:rsidR="00CD1584" w:rsidRPr="000E2874">
              <w:t>comenzará a bajar el producto. En caso d</w:t>
            </w:r>
            <w:r w:rsidR="00D273BA" w:rsidRPr="000E2874">
              <w:t xml:space="preserve">e observarse alguna </w:t>
            </w:r>
            <w:r w:rsidR="00CD1584" w:rsidRPr="000E2874">
              <w:t>irregularidad en el aspecto del Gas-</w:t>
            </w:r>
            <w:proofErr w:type="spellStart"/>
            <w:r w:rsidR="00CD1584" w:rsidRPr="000E2874">
              <w:t>Oil</w:t>
            </w:r>
            <w:proofErr w:type="spellEnd"/>
            <w:r w:rsidR="00CD1584" w:rsidRPr="000E2874">
              <w:t xml:space="preserve"> deb</w:t>
            </w:r>
            <w:r w:rsidR="00A92BAD">
              <w:t>erá informar de inmediato a su s</w:t>
            </w:r>
            <w:r w:rsidR="00CD1584" w:rsidRPr="000E2874">
              <w:t>uperior.</w:t>
            </w:r>
          </w:p>
          <w:p w:rsidR="00CD1584" w:rsidRPr="000E2874" w:rsidRDefault="00CD1584" w:rsidP="000600BF">
            <w:pPr>
              <w:ind w:left="360"/>
              <w:jc w:val="both"/>
            </w:pPr>
          </w:p>
          <w:p w:rsidR="0047171C" w:rsidRPr="000E2874" w:rsidRDefault="00CD1584" w:rsidP="000600BF">
            <w:pPr>
              <w:numPr>
                <w:ilvl w:val="1"/>
                <w:numId w:val="3"/>
              </w:numPr>
              <w:jc w:val="both"/>
            </w:pPr>
            <w:r w:rsidRPr="000E2874">
              <w:t xml:space="preserve">Finalizada la descarga total de las cisternas, el operador verificará que las </w:t>
            </w:r>
            <w:r w:rsidR="00A82C47" w:rsidRPr="000E2874">
              <w:t>mismas</w:t>
            </w:r>
            <w:r w:rsidR="00D273BA" w:rsidRPr="000E2874">
              <w:t xml:space="preserve"> han sido </w:t>
            </w:r>
            <w:r w:rsidRPr="000E2874">
              <w:t>descargadas en su totalidad, procediendo a cerrar las válvulas y las tapas.</w:t>
            </w:r>
          </w:p>
          <w:p w:rsidR="00CD1584" w:rsidRPr="000E2874" w:rsidRDefault="00CD1584" w:rsidP="000600BF">
            <w:pPr>
              <w:ind w:left="360"/>
              <w:jc w:val="both"/>
            </w:pPr>
          </w:p>
          <w:p w:rsidR="00E74317" w:rsidRDefault="00CD1584" w:rsidP="000600BF">
            <w:pPr>
              <w:numPr>
                <w:ilvl w:val="1"/>
                <w:numId w:val="3"/>
              </w:numPr>
              <w:jc w:val="both"/>
            </w:pPr>
            <w:r w:rsidRPr="000E2874">
              <w:t xml:space="preserve">Mientras el </w:t>
            </w:r>
            <w:r w:rsidR="00017465">
              <w:t>proveedor</w:t>
            </w:r>
            <w:r w:rsidRPr="000E2874">
              <w:t xml:space="preserve"> desconecta la manguera, el </w:t>
            </w:r>
            <w:r w:rsidR="00017465" w:rsidRPr="00E97605">
              <w:t>Personal Designado</w:t>
            </w:r>
            <w:r w:rsidRPr="000E2874">
              <w:t xml:space="preserve"> verific</w:t>
            </w:r>
            <w:r w:rsidR="00D273BA" w:rsidRPr="000E2874">
              <w:t xml:space="preserve">ará nuevamente el nivel en la </w:t>
            </w:r>
            <w:r w:rsidRPr="000E2874">
              <w:t>cisterna, corroborando que la existencia coincida con la suma d</w:t>
            </w:r>
            <w:r w:rsidR="00D273BA" w:rsidRPr="000E2874">
              <w:t xml:space="preserve">e la existencia determinada </w:t>
            </w:r>
            <w:r w:rsidRPr="000E2874">
              <w:t>antes de la descarga más la cantidad d</w:t>
            </w:r>
            <w:r w:rsidR="00D273BA" w:rsidRPr="000E2874">
              <w:t>escargada según indica la f</w:t>
            </w:r>
            <w:r w:rsidRPr="000E2874">
              <w:t>actura correspondiente.</w:t>
            </w:r>
            <w:r w:rsidR="00E74317">
              <w:t xml:space="preserve"> Para tal actividad se realizara la impresión del stock de Gas Oíl, con el sistema </w:t>
            </w:r>
            <w:r w:rsidR="000600BF">
              <w:t>de control.</w:t>
            </w:r>
          </w:p>
          <w:p w:rsidR="00CD1584" w:rsidRPr="000E2874" w:rsidRDefault="00CD1584" w:rsidP="000600BF">
            <w:pPr>
              <w:ind w:left="360"/>
              <w:jc w:val="both"/>
            </w:pPr>
          </w:p>
          <w:p w:rsidR="00CD1584" w:rsidRPr="000E2874" w:rsidRDefault="00CD1584" w:rsidP="000600BF">
            <w:pPr>
              <w:numPr>
                <w:ilvl w:val="1"/>
                <w:numId w:val="3"/>
              </w:numPr>
              <w:jc w:val="both"/>
            </w:pPr>
            <w:r w:rsidRPr="000E2874">
              <w:t>Se procederá a desconectar la pinza de puesta a tierra</w:t>
            </w:r>
            <w:r w:rsidR="00855FA2" w:rsidRPr="000E2874">
              <w:t xml:space="preserve"> </w:t>
            </w:r>
            <w:r w:rsidR="00D273BA" w:rsidRPr="000E2874">
              <w:t>(siempre</w:t>
            </w:r>
            <w:r w:rsidR="00855FA2" w:rsidRPr="000E2874">
              <w:t xml:space="preserve"> d</w:t>
            </w:r>
            <w:r w:rsidR="00D273BA" w:rsidRPr="000E2874">
              <w:t xml:space="preserve">ebe observarse la precaución </w:t>
            </w:r>
            <w:r w:rsidR="00855FA2" w:rsidRPr="000E2874">
              <w:t>de conectar la pinza antes de conectar la manguera de desc</w:t>
            </w:r>
            <w:r w:rsidR="00D273BA" w:rsidRPr="000E2874">
              <w:t>arga y desconectarla luego de</w:t>
            </w:r>
            <w:r w:rsidR="00855FA2" w:rsidRPr="000E2874">
              <w:t xml:space="preserve"> desconectar esta</w:t>
            </w:r>
            <w:r w:rsidR="00D273BA" w:rsidRPr="000E2874">
              <w:t>);</w:t>
            </w:r>
            <w:r w:rsidR="00855FA2" w:rsidRPr="000E2874">
              <w:t xml:space="preserve"> se retirarán las valla</w:t>
            </w:r>
            <w:r w:rsidR="00D9413B">
              <w:t xml:space="preserve">s y se autorizara al conductor </w:t>
            </w:r>
            <w:r w:rsidR="00855FA2" w:rsidRPr="000E2874">
              <w:t>a retirarse.</w:t>
            </w:r>
          </w:p>
          <w:p w:rsidR="00855FA2" w:rsidRPr="000E2874" w:rsidRDefault="00855FA2" w:rsidP="000600BF">
            <w:pPr>
              <w:jc w:val="both"/>
            </w:pPr>
          </w:p>
          <w:p w:rsidR="00855FA2" w:rsidRDefault="00855FA2" w:rsidP="000600BF">
            <w:pPr>
              <w:numPr>
                <w:ilvl w:val="1"/>
                <w:numId w:val="3"/>
              </w:numPr>
              <w:jc w:val="both"/>
            </w:pPr>
            <w:r w:rsidRPr="000E2874">
              <w:t xml:space="preserve">Durante las operaciones de descarga de combustible </w:t>
            </w:r>
            <w:r w:rsidR="00D273BA" w:rsidRPr="000E2874">
              <w:t>y,</w:t>
            </w:r>
            <w:r w:rsidRPr="000E2874">
              <w:t xml:space="preserve"> hasta</w:t>
            </w:r>
            <w:r w:rsidR="00E74317">
              <w:t xml:space="preserve"> veinte minutos después de </w:t>
            </w:r>
            <w:r w:rsidRPr="000E2874">
              <w:t>finalizada la misma, está  prohibido el despacho de Gas-</w:t>
            </w:r>
            <w:proofErr w:type="spellStart"/>
            <w:r w:rsidRPr="000E2874">
              <w:t>Oil</w:t>
            </w:r>
            <w:proofErr w:type="spellEnd"/>
            <w:r w:rsidRPr="000E2874">
              <w:t xml:space="preserve"> por el surtidor.</w:t>
            </w:r>
          </w:p>
          <w:p w:rsidR="00A92BAD" w:rsidRDefault="00A92BAD" w:rsidP="00A92BAD">
            <w:pPr>
              <w:pStyle w:val="Prrafodelista"/>
            </w:pPr>
          </w:p>
          <w:p w:rsidR="00B14112" w:rsidRDefault="00A92BAD" w:rsidP="00B14112">
            <w:pPr>
              <w:pStyle w:val="Prrafodelista"/>
              <w:numPr>
                <w:ilvl w:val="1"/>
                <w:numId w:val="3"/>
              </w:numPr>
            </w:pPr>
            <w:r>
              <w:t>El registro</w:t>
            </w:r>
            <w:r w:rsidR="00B14112">
              <w:t xml:space="preserve"> diario</w:t>
            </w:r>
            <w:r>
              <w:t xml:space="preserve"> de la descarga de Gas-</w:t>
            </w:r>
            <w:proofErr w:type="spellStart"/>
            <w:r>
              <w:t>Oil</w:t>
            </w:r>
            <w:proofErr w:type="spellEnd"/>
            <w:r>
              <w:t xml:space="preserve"> se hará </w:t>
            </w:r>
            <w:r w:rsidR="00B14112">
              <w:t xml:space="preserve">en FORM.042 DESPACHO DE GAS-OIL y el registro general se hará en FORM.192  </w:t>
            </w:r>
            <w:r w:rsidR="00B14112" w:rsidRPr="00C555A6">
              <w:t>BASE DESCARGO Y DESPACHO GAS OIL</w:t>
            </w:r>
            <w:r w:rsidR="00B14112">
              <w:t>.</w:t>
            </w:r>
          </w:p>
          <w:p w:rsidR="00A92BAD" w:rsidRPr="000E2874" w:rsidRDefault="00A92BAD" w:rsidP="00B14112">
            <w:pPr>
              <w:ind w:left="780"/>
              <w:jc w:val="both"/>
            </w:pPr>
          </w:p>
          <w:p w:rsidR="00066D29" w:rsidRPr="000E2874" w:rsidRDefault="00066D29" w:rsidP="00066D29"/>
          <w:p w:rsidR="00066D29" w:rsidRPr="001F0E3E" w:rsidRDefault="00066D29" w:rsidP="001F0E3E">
            <w:pPr>
              <w:numPr>
                <w:ilvl w:val="0"/>
                <w:numId w:val="3"/>
              </w:numPr>
              <w:rPr>
                <w:b/>
              </w:rPr>
            </w:pPr>
            <w:r w:rsidRPr="001F0E3E">
              <w:rPr>
                <w:b/>
              </w:rPr>
              <w:t>REGISTROS ASOCIADOS:</w:t>
            </w:r>
          </w:p>
          <w:p w:rsidR="00066D29" w:rsidRPr="001F0E3E" w:rsidRDefault="00066D29" w:rsidP="001F0E3E">
            <w:pPr>
              <w:ind w:left="360"/>
              <w:rPr>
                <w:b/>
              </w:rPr>
            </w:pPr>
          </w:p>
          <w:p w:rsidR="00A92BAD" w:rsidRDefault="00A92BAD" w:rsidP="00B14112">
            <w:r>
              <w:t>FORM.042 DESPACHO DE GAS-OIL</w:t>
            </w:r>
          </w:p>
          <w:p w:rsidR="00B2788B" w:rsidRPr="000E2874" w:rsidRDefault="00596247" w:rsidP="00B14112">
            <w:hyperlink r:id="rId8" w:history="1">
              <w:r w:rsidR="00E97605" w:rsidRPr="00596247">
                <w:rPr>
                  <w:rStyle w:val="Hipervnculo"/>
                </w:rPr>
                <w:t>FORM.144 PLANIFICACIÓN Y REGISTRO GENERAL DE CAPACITACIONES</w:t>
              </w:r>
              <w:r w:rsidR="00B14112" w:rsidRPr="00596247">
                <w:rPr>
                  <w:rStyle w:val="Hipervnculo"/>
                </w:rPr>
                <w:t xml:space="preserve">                </w:t>
              </w:r>
            </w:hyperlink>
            <w:r w:rsidR="00B14112">
              <w:t xml:space="preserve"> </w:t>
            </w:r>
            <w:hyperlink r:id="rId9" w:history="1">
              <w:r w:rsidR="00B14112" w:rsidRPr="00596247">
                <w:rPr>
                  <w:rStyle w:val="Hipervnculo"/>
                </w:rPr>
                <w:t>FORM.192  BASE DESCARGO Y DESPACHO GAS OIL</w:t>
              </w:r>
            </w:hyperlink>
          </w:p>
          <w:p w:rsidR="00066D29" w:rsidRPr="000E2874" w:rsidRDefault="00066D29" w:rsidP="001F0E3E">
            <w:pPr>
              <w:ind w:left="360"/>
            </w:pPr>
          </w:p>
          <w:p w:rsidR="00066D29" w:rsidRPr="001F0E3E" w:rsidRDefault="00066D29" w:rsidP="001F0E3E">
            <w:pPr>
              <w:numPr>
                <w:ilvl w:val="0"/>
                <w:numId w:val="3"/>
              </w:numPr>
              <w:rPr>
                <w:b/>
              </w:rPr>
            </w:pPr>
            <w:r w:rsidRPr="001F0E3E">
              <w:rPr>
                <w:b/>
              </w:rPr>
              <w:t>ANEXOS:</w:t>
            </w:r>
          </w:p>
          <w:p w:rsidR="00066D29" w:rsidRPr="001F0E3E" w:rsidRDefault="00066D29" w:rsidP="00066D29">
            <w:pPr>
              <w:rPr>
                <w:b/>
              </w:rPr>
            </w:pPr>
          </w:p>
          <w:p w:rsidR="003113BB" w:rsidRDefault="00066D29" w:rsidP="00B67CC2">
            <w:r w:rsidRPr="001F0E3E">
              <w:rPr>
                <w:b/>
              </w:rPr>
              <w:t xml:space="preserve">            </w:t>
            </w:r>
            <w:r w:rsidRPr="000E2874">
              <w:t>No aplicable</w:t>
            </w:r>
          </w:p>
          <w:p w:rsidR="00C77654" w:rsidRDefault="00C77654" w:rsidP="00B67CC2"/>
          <w:p w:rsidR="00C77654" w:rsidRPr="000E2874" w:rsidRDefault="00C77654" w:rsidP="00C77654">
            <w:pPr>
              <w:ind w:left="720"/>
            </w:pPr>
            <w:bookmarkStart w:id="0" w:name="_GoBack"/>
            <w:bookmarkEnd w:id="0"/>
          </w:p>
        </w:tc>
      </w:tr>
      <w:tr w:rsidR="00E74317" w:rsidRPr="000E2874" w:rsidTr="00170079">
        <w:trPr>
          <w:jc w:val="center"/>
        </w:trPr>
        <w:tc>
          <w:tcPr>
            <w:tcW w:w="10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317" w:rsidRPr="000E2874" w:rsidRDefault="00E74317" w:rsidP="001F0E3E">
            <w:pPr>
              <w:ind w:left="360"/>
            </w:pPr>
          </w:p>
        </w:tc>
      </w:tr>
    </w:tbl>
    <w:p w:rsidR="007F4DBF" w:rsidRPr="000E2874" w:rsidRDefault="007F4DBF" w:rsidP="00B67CC2"/>
    <w:sectPr w:rsidR="007F4DBF" w:rsidRPr="000E2874" w:rsidSect="00923EBB">
      <w:headerReference w:type="default" r:id="rId10"/>
      <w:headerReference w:type="first" r:id="rId11"/>
      <w:footerReference w:type="first" r:id="rId12"/>
      <w:pgSz w:w="11907" w:h="16840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459" w:rsidRDefault="00E42459">
      <w:r>
        <w:separator/>
      </w:r>
    </w:p>
  </w:endnote>
  <w:endnote w:type="continuationSeparator" w:id="0">
    <w:p w:rsidR="00E42459" w:rsidRDefault="00E4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923EBB" w:rsidRPr="000E2874" w:rsidTr="00352F4A">
      <w:trPr>
        <w:trHeight w:val="709"/>
        <w:jc w:val="center"/>
      </w:trPr>
      <w:tc>
        <w:tcPr>
          <w:tcW w:w="3419" w:type="dxa"/>
          <w:vAlign w:val="center"/>
        </w:tcPr>
        <w:p w:rsidR="00923EBB" w:rsidRPr="00C471E0" w:rsidRDefault="00923EBB" w:rsidP="00352F4A">
          <w:pPr>
            <w:pStyle w:val="Piedepgina"/>
          </w:pPr>
          <w:r w:rsidRPr="00C471E0">
            <w:t xml:space="preserve">Realizó: </w:t>
          </w:r>
          <w:proofErr w:type="spellStart"/>
          <w:r w:rsidRPr="00C471E0">
            <w:t>Resp</w:t>
          </w:r>
          <w:proofErr w:type="spellEnd"/>
          <w:r w:rsidRPr="00C471E0">
            <w:t xml:space="preserve">. De Mantenimiento </w:t>
          </w:r>
        </w:p>
        <w:p w:rsidR="00923EBB" w:rsidRPr="00C471E0" w:rsidRDefault="00923EBB" w:rsidP="001E06FB">
          <w:pPr>
            <w:pStyle w:val="Piedepgina"/>
          </w:pPr>
          <w:r w:rsidRPr="00C471E0">
            <w:t xml:space="preserve">Fecha: </w:t>
          </w:r>
          <w:r w:rsidR="004A4941">
            <w:t>15/12/2016</w:t>
          </w:r>
        </w:p>
      </w:tc>
      <w:tc>
        <w:tcPr>
          <w:tcW w:w="3419" w:type="dxa"/>
          <w:vAlign w:val="center"/>
        </w:tcPr>
        <w:p w:rsidR="00923EBB" w:rsidRPr="00C471E0" w:rsidRDefault="00923EBB" w:rsidP="00352F4A">
          <w:pPr>
            <w:pStyle w:val="Piedepgina"/>
          </w:pPr>
          <w:r w:rsidRPr="00C471E0">
            <w:t xml:space="preserve">Revisó: REDI </w:t>
          </w:r>
        </w:p>
        <w:p w:rsidR="00923EBB" w:rsidRPr="00C471E0" w:rsidRDefault="00923EBB" w:rsidP="001E06FB">
          <w:pPr>
            <w:pStyle w:val="Piedepgina"/>
          </w:pPr>
          <w:r w:rsidRPr="00C471E0">
            <w:t xml:space="preserve">Fecha: </w:t>
          </w:r>
          <w:r w:rsidR="004A4941">
            <w:t>15/12/2016</w:t>
          </w:r>
        </w:p>
      </w:tc>
      <w:tc>
        <w:tcPr>
          <w:tcW w:w="3419" w:type="dxa"/>
          <w:vAlign w:val="center"/>
        </w:tcPr>
        <w:p w:rsidR="00923EBB" w:rsidRPr="00C471E0" w:rsidRDefault="00923EBB" w:rsidP="00352F4A">
          <w:pPr>
            <w:pStyle w:val="Piedepgina"/>
          </w:pPr>
          <w:r w:rsidRPr="00C471E0">
            <w:t>Aprobó: Gerente</w:t>
          </w:r>
        </w:p>
        <w:p w:rsidR="00923EBB" w:rsidRPr="00C471E0" w:rsidRDefault="00923EBB" w:rsidP="00596247">
          <w:pPr>
            <w:pStyle w:val="Piedepgina"/>
          </w:pPr>
          <w:r w:rsidRPr="00C471E0">
            <w:t xml:space="preserve">Fecha: </w:t>
          </w:r>
          <w:r w:rsidR="00596247">
            <w:t>18</w:t>
          </w:r>
          <w:r w:rsidR="004A4941">
            <w:t>/12/2016</w:t>
          </w:r>
        </w:p>
      </w:tc>
    </w:tr>
    <w:tr w:rsidR="00923EBB" w:rsidRPr="000E2874" w:rsidTr="00352F4A">
      <w:trPr>
        <w:trHeight w:val="594"/>
        <w:jc w:val="center"/>
      </w:trPr>
      <w:tc>
        <w:tcPr>
          <w:tcW w:w="3419" w:type="dxa"/>
          <w:vAlign w:val="center"/>
        </w:tcPr>
        <w:p w:rsidR="00923EBB" w:rsidRPr="00C471E0" w:rsidRDefault="00923EBB" w:rsidP="00352F4A">
          <w:pPr>
            <w:pStyle w:val="Piedepgina"/>
          </w:pPr>
          <w:r w:rsidRPr="00C471E0">
            <w:t>Firma:</w:t>
          </w:r>
        </w:p>
      </w:tc>
      <w:tc>
        <w:tcPr>
          <w:tcW w:w="3419" w:type="dxa"/>
          <w:vAlign w:val="center"/>
        </w:tcPr>
        <w:p w:rsidR="00923EBB" w:rsidRPr="00C471E0" w:rsidRDefault="00923EBB" w:rsidP="00352F4A">
          <w:pPr>
            <w:pStyle w:val="Piedepgina"/>
          </w:pPr>
          <w:r w:rsidRPr="00C471E0">
            <w:t>Firma:</w:t>
          </w:r>
        </w:p>
      </w:tc>
      <w:tc>
        <w:tcPr>
          <w:tcW w:w="3419" w:type="dxa"/>
          <w:vAlign w:val="center"/>
        </w:tcPr>
        <w:p w:rsidR="00923EBB" w:rsidRPr="00C471E0" w:rsidRDefault="00923EBB" w:rsidP="00352F4A">
          <w:pPr>
            <w:pStyle w:val="Piedepgina"/>
          </w:pPr>
          <w:r w:rsidRPr="00C471E0">
            <w:t>Firma:</w:t>
          </w:r>
        </w:p>
      </w:tc>
    </w:tr>
  </w:tbl>
  <w:p w:rsidR="00923EBB" w:rsidRDefault="00923E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459" w:rsidRDefault="00E42459">
      <w:r>
        <w:separator/>
      </w:r>
    </w:p>
  </w:footnote>
  <w:footnote w:type="continuationSeparator" w:id="0">
    <w:p w:rsidR="00E42459" w:rsidRDefault="00E42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dxa"/>
      <w:jc w:val="center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170079">
      <w:trPr>
        <w:jc w:val="center"/>
      </w:trPr>
      <w:tc>
        <w:tcPr>
          <w:tcW w:w="3419" w:type="dxa"/>
        </w:tcPr>
        <w:p w:rsidR="00170079" w:rsidRDefault="00E42459">
          <w:pPr>
            <w:pStyle w:val="Encabezado"/>
            <w:spacing w:before="120" w:after="120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13.7pt;margin-top:18.45pt;width:123.7pt;height:27.85pt;z-index:251659264">
                <v:imagedata r:id="rId1" o:title=""/>
              </v:shape>
              <o:OLEObject Type="Embed" ProgID="CorelPHOTOPAINT.Image.16" ShapeID="_x0000_s2053" DrawAspect="Content" ObjectID="_1556519139" r:id="rId2"/>
            </w:pict>
          </w:r>
        </w:p>
      </w:tc>
      <w:tc>
        <w:tcPr>
          <w:tcW w:w="3419" w:type="dxa"/>
        </w:tcPr>
        <w:p w:rsidR="00170079" w:rsidRDefault="00170079" w:rsidP="001B4663">
          <w:pPr>
            <w:pStyle w:val="Encabezado"/>
            <w:spacing w:before="240" w:after="240"/>
            <w:jc w:val="center"/>
            <w:rPr>
              <w:b/>
            </w:rPr>
          </w:pPr>
          <w:r w:rsidRPr="00BB59DA">
            <w:rPr>
              <w:b/>
            </w:rPr>
            <w:t>DESCARGA</w:t>
          </w:r>
          <w:r>
            <w:rPr>
              <w:b/>
            </w:rPr>
            <w:br/>
          </w:r>
          <w:r w:rsidRPr="00BB59DA">
            <w:rPr>
              <w:b/>
            </w:rPr>
            <w:t xml:space="preserve"> DE GAS-OIL</w:t>
          </w:r>
        </w:p>
      </w:tc>
      <w:tc>
        <w:tcPr>
          <w:tcW w:w="3419" w:type="dxa"/>
        </w:tcPr>
        <w:p w:rsidR="00170079" w:rsidRDefault="001E06FB">
          <w:pPr>
            <w:pStyle w:val="Encabezado"/>
            <w:spacing w:before="120" w:after="120"/>
          </w:pPr>
          <w:r>
            <w:t>PRO.025.04</w:t>
          </w:r>
        </w:p>
        <w:p w:rsidR="00170079" w:rsidRDefault="001E06FB">
          <w:pPr>
            <w:pStyle w:val="Encabezado"/>
            <w:spacing w:before="120" w:after="120"/>
          </w:pPr>
          <w:r>
            <w:t xml:space="preserve">Fecha de Vigencia: </w:t>
          </w:r>
          <w:r w:rsidR="00596247">
            <w:t>18</w:t>
          </w:r>
          <w:r w:rsidR="000600BF">
            <w:t>/12/2016</w:t>
          </w:r>
        </w:p>
        <w:p w:rsidR="00170079" w:rsidRDefault="00170079">
          <w:pPr>
            <w:pStyle w:val="Encabezado"/>
            <w:spacing w:before="120" w:after="120"/>
          </w:pPr>
          <w:r>
            <w:t xml:space="preserve">Página: </w:t>
          </w:r>
          <w:r w:rsidR="00014DD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14DDD">
            <w:rPr>
              <w:rStyle w:val="Nmerodepgina"/>
            </w:rPr>
            <w:fldChar w:fldCharType="separate"/>
          </w:r>
          <w:r w:rsidR="00596247">
            <w:rPr>
              <w:rStyle w:val="Nmerodepgina"/>
              <w:noProof/>
            </w:rPr>
            <w:t>2</w:t>
          </w:r>
          <w:r w:rsidR="00014DD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2</w:t>
          </w:r>
        </w:p>
      </w:tc>
    </w:tr>
  </w:tbl>
  <w:p w:rsidR="00170079" w:rsidRPr="00314F9A" w:rsidRDefault="00170079">
    <w:pPr>
      <w:pStyle w:val="Encabezad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464" w:rsidRDefault="00754464"/>
  <w:p w:rsidR="00754464" w:rsidRDefault="00754464"/>
  <w:tbl>
    <w:tblPr>
      <w:tblW w:w="10257" w:type="dxa"/>
      <w:jc w:val="center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923EBB" w:rsidTr="00754464">
      <w:trPr>
        <w:jc w:val="center"/>
      </w:trPr>
      <w:tc>
        <w:tcPr>
          <w:tcW w:w="3419" w:type="dxa"/>
        </w:tcPr>
        <w:p w:rsidR="00923EBB" w:rsidRDefault="00E42459" w:rsidP="00352F4A">
          <w:pPr>
            <w:pStyle w:val="Encabezado"/>
            <w:spacing w:before="120" w:after="120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52" DrawAspect="Content" ObjectID="_1556519140" r:id="rId2"/>
            </w:pict>
          </w:r>
        </w:p>
      </w:tc>
      <w:tc>
        <w:tcPr>
          <w:tcW w:w="3419" w:type="dxa"/>
        </w:tcPr>
        <w:p w:rsidR="00923EBB" w:rsidRDefault="00923EBB" w:rsidP="00352F4A">
          <w:pPr>
            <w:pStyle w:val="Encabezado"/>
            <w:spacing w:before="240" w:after="240"/>
            <w:jc w:val="center"/>
            <w:rPr>
              <w:b/>
            </w:rPr>
          </w:pPr>
          <w:r w:rsidRPr="00BB59DA">
            <w:rPr>
              <w:b/>
            </w:rPr>
            <w:t>DESCARGA</w:t>
          </w:r>
          <w:r>
            <w:rPr>
              <w:b/>
            </w:rPr>
            <w:br/>
          </w:r>
          <w:r w:rsidRPr="00BB59DA">
            <w:rPr>
              <w:b/>
            </w:rPr>
            <w:t xml:space="preserve"> DE GAS-OIL</w:t>
          </w:r>
        </w:p>
      </w:tc>
      <w:tc>
        <w:tcPr>
          <w:tcW w:w="3419" w:type="dxa"/>
        </w:tcPr>
        <w:p w:rsidR="00923EBB" w:rsidRDefault="00F31AC8" w:rsidP="00352F4A">
          <w:pPr>
            <w:pStyle w:val="Encabezado"/>
            <w:spacing w:before="120" w:after="120"/>
          </w:pPr>
          <w:r>
            <w:t>PRO.025.04</w:t>
          </w:r>
        </w:p>
        <w:p w:rsidR="00923EBB" w:rsidRDefault="00923EBB" w:rsidP="00352F4A">
          <w:pPr>
            <w:pStyle w:val="Encabezado"/>
            <w:spacing w:before="120" w:after="120"/>
          </w:pPr>
          <w:r>
            <w:t xml:space="preserve">Fecha de Vigencia: </w:t>
          </w:r>
          <w:r w:rsidR="00596247">
            <w:t>18</w:t>
          </w:r>
          <w:r w:rsidR="00372D99">
            <w:t>/12</w:t>
          </w:r>
          <w:r w:rsidR="001E06FB">
            <w:t>/</w:t>
          </w:r>
          <w:r w:rsidR="00D83CB7">
            <w:t>20</w:t>
          </w:r>
          <w:r w:rsidR="001E06FB">
            <w:t>1</w:t>
          </w:r>
          <w:r w:rsidR="00372D99">
            <w:t>6</w:t>
          </w:r>
        </w:p>
        <w:p w:rsidR="00923EBB" w:rsidRDefault="00923EBB" w:rsidP="00352F4A">
          <w:pPr>
            <w:pStyle w:val="Encabezado"/>
            <w:spacing w:before="120" w:after="120"/>
          </w:pPr>
          <w:r>
            <w:t xml:space="preserve">Página: </w:t>
          </w:r>
          <w:r w:rsidR="00014DD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14DDD">
            <w:rPr>
              <w:rStyle w:val="Nmerodepgina"/>
            </w:rPr>
            <w:fldChar w:fldCharType="separate"/>
          </w:r>
          <w:r w:rsidR="00596247">
            <w:rPr>
              <w:rStyle w:val="Nmerodepgina"/>
              <w:noProof/>
            </w:rPr>
            <w:t>1</w:t>
          </w:r>
          <w:r w:rsidR="00014DD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2</w:t>
          </w:r>
        </w:p>
      </w:tc>
    </w:tr>
  </w:tbl>
  <w:p w:rsidR="00923EBB" w:rsidRPr="00F31AC8" w:rsidRDefault="00A92BAD">
    <w:pPr>
      <w:pStyle w:val="Encabezado"/>
      <w:rPr>
        <w:color w:val="808080"/>
        <w:sz w:val="20"/>
        <w:szCs w:val="20"/>
      </w:rPr>
    </w:pPr>
    <w:r>
      <w:rPr>
        <w:color w:val="808080"/>
        <w:sz w:val="20"/>
        <w:szCs w:val="20"/>
      </w:rPr>
      <w:t>Se agrega Ítem 7.</w:t>
    </w:r>
    <w:r w:rsidR="00F0434F">
      <w:rPr>
        <w:color w:val="808080"/>
        <w:sz w:val="20"/>
        <w:szCs w:val="20"/>
      </w:rPr>
      <w:t xml:space="preserve">9. </w:t>
    </w:r>
    <w:r w:rsidR="00372D99">
      <w:rPr>
        <w:color w:val="808080"/>
        <w:sz w:val="20"/>
        <w:szCs w:val="20"/>
      </w:rPr>
      <w:t>Se m</w:t>
    </w:r>
    <w:r>
      <w:rPr>
        <w:color w:val="808080"/>
        <w:sz w:val="20"/>
        <w:szCs w:val="20"/>
      </w:rPr>
      <w:t>odifican registros utilizados</w:t>
    </w:r>
    <w:r w:rsidR="00F0434F">
      <w:rPr>
        <w:color w:val="808080"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01D7"/>
    <w:multiLevelType w:val="hybridMultilevel"/>
    <w:tmpl w:val="851E5EF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AF0CC7"/>
    <w:multiLevelType w:val="multilevel"/>
    <w:tmpl w:val="F458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">
    <w:nsid w:val="49CE2A96"/>
    <w:multiLevelType w:val="hybridMultilevel"/>
    <w:tmpl w:val="C1766C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A6599"/>
    <w:multiLevelType w:val="multilevel"/>
    <w:tmpl w:val="F458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3689"/>
    <w:rsid w:val="00014DDD"/>
    <w:rsid w:val="00017465"/>
    <w:rsid w:val="00045562"/>
    <w:rsid w:val="000600BF"/>
    <w:rsid w:val="00066D29"/>
    <w:rsid w:val="00085623"/>
    <w:rsid w:val="00093690"/>
    <w:rsid w:val="000E2874"/>
    <w:rsid w:val="0011720E"/>
    <w:rsid w:val="00162326"/>
    <w:rsid w:val="00165419"/>
    <w:rsid w:val="00167188"/>
    <w:rsid w:val="00170079"/>
    <w:rsid w:val="00180572"/>
    <w:rsid w:val="001973ED"/>
    <w:rsid w:val="001B4663"/>
    <w:rsid w:val="001D0A0B"/>
    <w:rsid w:val="001E06FB"/>
    <w:rsid w:val="001E7B98"/>
    <w:rsid w:val="001F0E3E"/>
    <w:rsid w:val="002051BB"/>
    <w:rsid w:val="002428EC"/>
    <w:rsid w:val="002570E7"/>
    <w:rsid w:val="00291FEE"/>
    <w:rsid w:val="002B5165"/>
    <w:rsid w:val="002D792D"/>
    <w:rsid w:val="002F1ECA"/>
    <w:rsid w:val="002F44BA"/>
    <w:rsid w:val="002F76AB"/>
    <w:rsid w:val="002F7D91"/>
    <w:rsid w:val="003100FD"/>
    <w:rsid w:val="003113BB"/>
    <w:rsid w:val="00314F9A"/>
    <w:rsid w:val="00330151"/>
    <w:rsid w:val="00352F4A"/>
    <w:rsid w:val="0035376F"/>
    <w:rsid w:val="00370303"/>
    <w:rsid w:val="00372D99"/>
    <w:rsid w:val="00381C42"/>
    <w:rsid w:val="003A752B"/>
    <w:rsid w:val="003D4F41"/>
    <w:rsid w:val="003F3C94"/>
    <w:rsid w:val="0041425E"/>
    <w:rsid w:val="0047171C"/>
    <w:rsid w:val="004723F4"/>
    <w:rsid w:val="0047308A"/>
    <w:rsid w:val="00496FCF"/>
    <w:rsid w:val="004A4941"/>
    <w:rsid w:val="004B722D"/>
    <w:rsid w:val="004D5771"/>
    <w:rsid w:val="005032D8"/>
    <w:rsid w:val="005161BD"/>
    <w:rsid w:val="005327DE"/>
    <w:rsid w:val="005500D0"/>
    <w:rsid w:val="00572DE9"/>
    <w:rsid w:val="005739A0"/>
    <w:rsid w:val="00596247"/>
    <w:rsid w:val="005E3E63"/>
    <w:rsid w:val="0060639F"/>
    <w:rsid w:val="00630B14"/>
    <w:rsid w:val="00634EBC"/>
    <w:rsid w:val="00674B0E"/>
    <w:rsid w:val="006762EC"/>
    <w:rsid w:val="00692DBF"/>
    <w:rsid w:val="00705BEC"/>
    <w:rsid w:val="007262D5"/>
    <w:rsid w:val="00735314"/>
    <w:rsid w:val="00754464"/>
    <w:rsid w:val="00774037"/>
    <w:rsid w:val="007A59E0"/>
    <w:rsid w:val="007F4DBF"/>
    <w:rsid w:val="00855FA2"/>
    <w:rsid w:val="00862597"/>
    <w:rsid w:val="008E5DFE"/>
    <w:rsid w:val="008F0FCF"/>
    <w:rsid w:val="00923EBB"/>
    <w:rsid w:val="009260BE"/>
    <w:rsid w:val="009673AD"/>
    <w:rsid w:val="009B0FAE"/>
    <w:rsid w:val="00A634D9"/>
    <w:rsid w:val="00A70336"/>
    <w:rsid w:val="00A775D0"/>
    <w:rsid w:val="00A82C47"/>
    <w:rsid w:val="00A92BAD"/>
    <w:rsid w:val="00AA2904"/>
    <w:rsid w:val="00AA4F19"/>
    <w:rsid w:val="00AB1FA8"/>
    <w:rsid w:val="00B069CC"/>
    <w:rsid w:val="00B14112"/>
    <w:rsid w:val="00B2788B"/>
    <w:rsid w:val="00B50F5B"/>
    <w:rsid w:val="00B5133D"/>
    <w:rsid w:val="00B53385"/>
    <w:rsid w:val="00B55EE3"/>
    <w:rsid w:val="00B579AA"/>
    <w:rsid w:val="00B67CC2"/>
    <w:rsid w:val="00BB2832"/>
    <w:rsid w:val="00BB59DA"/>
    <w:rsid w:val="00C14BEF"/>
    <w:rsid w:val="00C354EC"/>
    <w:rsid w:val="00C471E0"/>
    <w:rsid w:val="00C52EB3"/>
    <w:rsid w:val="00C74B73"/>
    <w:rsid w:val="00C77654"/>
    <w:rsid w:val="00C821C0"/>
    <w:rsid w:val="00C84CD9"/>
    <w:rsid w:val="00CD1584"/>
    <w:rsid w:val="00CE494F"/>
    <w:rsid w:val="00D05661"/>
    <w:rsid w:val="00D11159"/>
    <w:rsid w:val="00D261FB"/>
    <w:rsid w:val="00D273BA"/>
    <w:rsid w:val="00D35583"/>
    <w:rsid w:val="00D52E7D"/>
    <w:rsid w:val="00D83CB7"/>
    <w:rsid w:val="00D9413B"/>
    <w:rsid w:val="00D958F7"/>
    <w:rsid w:val="00DA47E6"/>
    <w:rsid w:val="00E11DF7"/>
    <w:rsid w:val="00E1797D"/>
    <w:rsid w:val="00E308CD"/>
    <w:rsid w:val="00E42459"/>
    <w:rsid w:val="00E74317"/>
    <w:rsid w:val="00E87CC9"/>
    <w:rsid w:val="00E97605"/>
    <w:rsid w:val="00ED33F3"/>
    <w:rsid w:val="00F0434F"/>
    <w:rsid w:val="00F05F76"/>
    <w:rsid w:val="00F15EFD"/>
    <w:rsid w:val="00F31AC8"/>
    <w:rsid w:val="00F40DF8"/>
    <w:rsid w:val="00F95025"/>
    <w:rsid w:val="00FB42DF"/>
    <w:rsid w:val="00FE76E3"/>
    <w:rsid w:val="00FF5197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4D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634D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A634D9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A634D9"/>
  </w:style>
  <w:style w:type="character" w:styleId="Refdecomentario">
    <w:name w:val="annotation reference"/>
    <w:semiHidden/>
    <w:rsid w:val="00A634D9"/>
    <w:rPr>
      <w:sz w:val="16"/>
      <w:szCs w:val="16"/>
    </w:rPr>
  </w:style>
  <w:style w:type="paragraph" w:styleId="Textocomentario">
    <w:name w:val="annotation text"/>
    <w:basedOn w:val="Normal"/>
    <w:semiHidden/>
    <w:rsid w:val="00A634D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634D9"/>
    <w:rPr>
      <w:b/>
      <w:bCs/>
    </w:rPr>
  </w:style>
  <w:style w:type="paragraph" w:styleId="Textodeglobo">
    <w:name w:val="Balloon Text"/>
    <w:basedOn w:val="Normal"/>
    <w:semiHidden/>
    <w:rsid w:val="00A634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4317"/>
    <w:pPr>
      <w:ind w:left="708"/>
    </w:pPr>
  </w:style>
  <w:style w:type="character" w:customStyle="1" w:styleId="PiedepginaCar">
    <w:name w:val="Pie de página Car"/>
    <w:link w:val="Piedepgina"/>
    <w:rsid w:val="005E3E63"/>
    <w:rPr>
      <w:sz w:val="24"/>
      <w:szCs w:val="24"/>
    </w:rPr>
  </w:style>
  <w:style w:type="character" w:styleId="Hipervnculo">
    <w:name w:val="Hyperlink"/>
    <w:basedOn w:val="Fuentedeprrafopredeter"/>
    <w:rsid w:val="005962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5.%20Registros/5.5.%20Registros%20Recursos%20Humano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5.%20Registros/5.1.%20Registros%20Administraci&#243;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20</cp:revision>
  <cp:lastPrinted>2013-11-21T15:08:00Z</cp:lastPrinted>
  <dcterms:created xsi:type="dcterms:W3CDTF">2014-11-30T02:46:00Z</dcterms:created>
  <dcterms:modified xsi:type="dcterms:W3CDTF">2017-05-17T12:39:00Z</dcterms:modified>
</cp:coreProperties>
</file>