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8306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B3C" w:val="clear"/>
            <w:tcMar>
              <w:top w:type="dxa" w:w="300"/>
              <w:left w:type="dxa" w:w="350"/>
              <w:bottom w:type="dxa" w:w="400"/>
              <w:right w:type="dxa" w:w="300"/>
            </w:tcMar>
            <w:vAlign w:val="top"/>
          </w:tcPr>
          <w:p>
            <w:pPr>
              <w:spacing w:after="0" w:befor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LÉO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2E86AB"/>
                <w:sz w:val="40"/>
                <w:szCs w:val="40"/>
              </w:rPr>
              <w:t xml:space="preserve">COUCHOUD</w:t>
            </w:r>
          </w:p>
          <w:p>
            <w:pPr>
              <w:spacing w:after="180" w:before="40"/>
            </w:pPr>
            <w:r>
              <w:rPr>
                <w:rFonts w:ascii="Calibri" w:cs="Calibri" w:eastAsia="Calibri" w:hAnsi="Calibri"/>
                <w:i/>
                <w:iCs/>
                <w:color w:val="B0C4D4"/>
                <w:sz w:val="18"/>
                <w:szCs w:val="18"/>
              </w:rPr>
              <w:t xml:space="preserve">Marketing Digital &amp; Management</w:t>
            </w:r>
          </w:p>
          <w:p>
            <w:pPr>
              <w:spacing w:after="0" w:before="240"/>
            </w:pPr>
            <w:r>
              <w:rPr>
                <w:rFonts w:ascii="Calibri" w:cs="Calibri" w:eastAsia="Calibri" w:hAnsi="Calibri"/>
                <w:b/>
                <w:bCs/>
                <w:color w:val="2E86AB"/>
                <w:sz w:val="20"/>
                <w:szCs w:val="20"/>
              </w:rPr>
              <w:t xml:space="preserve">CONTACT</w:t>
            </w:r>
          </w:p>
          <w:p>
            <w:pPr>
              <w:pBdr>
                <w:bottom w:val="single" w:color="2E86AB" w:sz="4" w:space="1"/>
              </w:pBdr>
              <w:spacing w:after="60" w:before="40"/>
            </w:pPr>
          </w:p>
          <w:p>
            <w:pPr>
              <w:spacing w:after="0" w:before="80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📍  Valenciennes, France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📞  07 85 82 00 94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✉  leocouchoudpro@gmail.com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🔗  </w:t>
            </w:r>
            <w:hyperlink w:history="1" r:id="rIdpmczf8zfxaxe-uxnlkz5d">
              <w:r>
                <w:rPr>
                  <w:rFonts w:ascii="Calibri" w:cs="Calibri" w:eastAsia="Calibri" w:hAnsi="Calibri"/>
                  <w:color w:val="2E86AB"/>
                  <w:sz w:val="17"/>
                  <w:szCs w:val="17"/>
                  <w:u w:val="single"/>
                </w:rPr>
                <w:t xml:space="preserve">linkedin.com/in/LeoCouchoud</w:t>
              </w:r>
            </w:hyperlink>
          </w:p>
          <w:p>
            <w:pPr>
              <w:spacing w:after="0" w:before="240"/>
            </w:pPr>
            <w:r>
              <w:rPr>
                <w:rFonts w:ascii="Calibri" w:cs="Calibri" w:eastAsia="Calibri" w:hAnsi="Calibri"/>
                <w:b/>
                <w:bCs/>
                <w:color w:val="2E86AB"/>
                <w:sz w:val="20"/>
                <w:szCs w:val="20"/>
              </w:rPr>
              <w:t xml:space="preserve">COMPÉTENCES</w:t>
            </w:r>
          </w:p>
          <w:p>
            <w:pPr>
              <w:pBdr>
                <w:bottom w:val="single" w:color="2E86AB" w:sz="4" w:space="1"/>
              </w:pBdr>
              <w:spacing w:after="60" w:before="40"/>
            </w:pPr>
          </w:p>
          <w:p>
            <w:pPr>
              <w:spacing w:after="25" w:before="90"/>
            </w:pPr>
            <w:r>
              <w:rPr>
                <w:rFonts w:ascii="Calibri" w:cs="Calibri" w:eastAsia="Calibri" w:hAnsi="Calibri"/>
                <w:b/>
                <w:bCs/>
                <w:color w:val="2E86AB"/>
                <w:sz w:val="17"/>
                <w:szCs w:val="17"/>
              </w:rPr>
              <w:t xml:space="preserve">Analyse &amp; Stratégie</w:t>
            </w:r>
          </w:p>
          <w:p>
            <w:pPr>
              <w:spacing w:after="0" w:before="15"/>
            </w:pPr>
            <w:r>
              <w:rPr>
                <w:rFonts w:ascii="Calibri" w:cs="Calibri" w:eastAsia="Calibri" w:hAnsi="Calibri"/>
                <w:color w:val="B0C4D4"/>
                <w:sz w:val="16"/>
                <w:szCs w:val="16"/>
              </w:rPr>
              <w:t xml:space="preserve">  SWOT / PESTEL / BMC</w:t>
            </w:r>
          </w:p>
          <w:p>
            <w:pPr>
              <w:spacing w:after="0" w:before="15"/>
            </w:pPr>
            <w:r>
              <w:rPr>
                <w:rFonts w:ascii="Calibri" w:cs="Calibri" w:eastAsia="Calibri" w:hAnsi="Calibri"/>
                <w:color w:val="B0C4D4"/>
                <w:sz w:val="16"/>
                <w:szCs w:val="16"/>
              </w:rPr>
              <w:t xml:space="preserve">  Analyse financière</w:t>
            </w:r>
          </w:p>
          <w:p>
            <w:pPr>
              <w:spacing w:after="0" w:before="15"/>
            </w:pPr>
            <w:r>
              <w:rPr>
                <w:rFonts w:ascii="Calibri" w:cs="Calibri" w:eastAsia="Calibri" w:hAnsi="Calibri"/>
                <w:color w:val="B0C4D4"/>
                <w:sz w:val="16"/>
                <w:szCs w:val="16"/>
              </w:rPr>
              <w:t xml:space="preserve">  Benchmark concurrentiel</w:t>
            </w:r>
          </w:p>
          <w:p>
            <w:pPr>
              <w:spacing w:after="0" w:before="15"/>
            </w:pPr>
            <w:r>
              <w:rPr>
                <w:rFonts w:ascii="Calibri" w:cs="Calibri" w:eastAsia="Calibri" w:hAnsi="Calibri"/>
                <w:color w:val="B0C4D4"/>
                <w:sz w:val="16"/>
                <w:szCs w:val="16"/>
              </w:rPr>
              <w:t xml:space="preserve">  Étude de marché</w:t>
            </w:r>
          </w:p>
          <w:p>
            <w:pPr>
              <w:spacing w:after="0" w:before="50"/>
            </w:pPr>
          </w:p>
          <w:p>
            <w:pPr>
              <w:spacing w:after="25" w:before="90"/>
            </w:pPr>
            <w:r>
              <w:rPr>
                <w:rFonts w:ascii="Calibri" w:cs="Calibri" w:eastAsia="Calibri" w:hAnsi="Calibri"/>
                <w:b/>
                <w:bCs/>
                <w:color w:val="2E86AB"/>
                <w:sz w:val="17"/>
                <w:szCs w:val="17"/>
              </w:rPr>
              <w:t xml:space="preserve">Gestion &amp; Leadership</w:t>
            </w:r>
          </w:p>
          <w:p>
            <w:pPr>
              <w:spacing w:after="0" w:before="15"/>
            </w:pPr>
            <w:r>
              <w:rPr>
                <w:rFonts w:ascii="Calibri" w:cs="Calibri" w:eastAsia="Calibri" w:hAnsi="Calibri"/>
                <w:color w:val="B0C4D4"/>
                <w:sz w:val="16"/>
                <w:szCs w:val="16"/>
              </w:rPr>
              <w:t xml:space="preserve">  Gestion de projet</w:t>
            </w:r>
          </w:p>
          <w:p>
            <w:pPr>
              <w:spacing w:after="0" w:before="15"/>
            </w:pPr>
            <w:r>
              <w:rPr>
                <w:rFonts w:ascii="Calibri" w:cs="Calibri" w:eastAsia="Calibri" w:hAnsi="Calibri"/>
                <w:color w:val="B0C4D4"/>
                <w:sz w:val="16"/>
                <w:szCs w:val="16"/>
              </w:rPr>
              <w:t xml:space="preserve">  Coordination d’équipe</w:t>
            </w:r>
          </w:p>
          <w:p>
            <w:pPr>
              <w:spacing w:after="0" w:before="15"/>
            </w:pPr>
            <w:r>
              <w:rPr>
                <w:rFonts w:ascii="Calibri" w:cs="Calibri" w:eastAsia="Calibri" w:hAnsi="Calibri"/>
                <w:color w:val="B0C4D4"/>
                <w:sz w:val="16"/>
                <w:szCs w:val="16"/>
              </w:rPr>
              <w:t xml:space="preserve">  Décision stratégique</w:t>
            </w:r>
          </w:p>
          <w:p>
            <w:pPr>
              <w:spacing w:after="0" w:before="15"/>
            </w:pPr>
            <w:r>
              <w:rPr>
                <w:rFonts w:ascii="Calibri" w:cs="Calibri" w:eastAsia="Calibri" w:hAnsi="Calibri"/>
                <w:color w:val="B0C4D4"/>
                <w:sz w:val="16"/>
                <w:szCs w:val="16"/>
              </w:rPr>
              <w:t xml:space="preserve">  Pilotage de la performance</w:t>
            </w:r>
          </w:p>
          <w:p>
            <w:pPr>
              <w:spacing w:after="0" w:before="15"/>
            </w:pPr>
            <w:r>
              <w:rPr>
                <w:rFonts w:ascii="Calibri" w:cs="Calibri" w:eastAsia="Calibri" w:hAnsi="Calibri"/>
                <w:color w:val="B0C4D4"/>
                <w:sz w:val="16"/>
                <w:szCs w:val="16"/>
              </w:rPr>
              <w:t xml:space="preserve">  Négociation commerciale</w:t>
            </w:r>
          </w:p>
          <w:p>
            <w:pPr>
              <w:spacing w:after="0" w:before="50"/>
            </w:pPr>
          </w:p>
          <w:p>
            <w:pPr>
              <w:spacing w:after="25" w:before="90"/>
            </w:pPr>
            <w:r>
              <w:rPr>
                <w:rFonts w:ascii="Calibri" w:cs="Calibri" w:eastAsia="Calibri" w:hAnsi="Calibri"/>
                <w:b/>
                <w:bCs/>
                <w:color w:val="2E86AB"/>
                <w:sz w:val="17"/>
                <w:szCs w:val="17"/>
              </w:rPr>
              <w:t xml:space="preserve">Marketing Digital</w:t>
            </w:r>
          </w:p>
          <w:p>
            <w:pPr>
              <w:spacing w:after="0" w:before="15"/>
            </w:pPr>
            <w:r>
              <w:rPr>
                <w:rFonts w:ascii="Calibri" w:cs="Calibri" w:eastAsia="Calibri" w:hAnsi="Calibri"/>
                <w:color w:val="B0C4D4"/>
                <w:sz w:val="16"/>
                <w:szCs w:val="16"/>
              </w:rPr>
              <w:t xml:space="preserve">  SEO / SEA</w:t>
            </w:r>
          </w:p>
          <w:p>
            <w:pPr>
              <w:spacing w:after="0" w:before="15"/>
            </w:pPr>
            <w:r>
              <w:rPr>
                <w:rFonts w:ascii="Calibri" w:cs="Calibri" w:eastAsia="Calibri" w:hAnsi="Calibri"/>
                <w:color w:val="B0C4D4"/>
                <w:sz w:val="16"/>
                <w:szCs w:val="16"/>
              </w:rPr>
              <w:t xml:space="preserve">  Semrush, Screaming Frog</w:t>
            </w:r>
          </w:p>
          <w:p>
            <w:pPr>
              <w:spacing w:after="0" w:before="15"/>
            </w:pPr>
            <w:r>
              <w:rPr>
                <w:rFonts w:ascii="Calibri" w:cs="Calibri" w:eastAsia="Calibri" w:hAnsi="Calibri"/>
                <w:color w:val="B0C4D4"/>
                <w:sz w:val="16"/>
                <w:szCs w:val="16"/>
              </w:rPr>
              <w:t xml:space="preserve">  Google Analytics</w:t>
            </w:r>
          </w:p>
          <w:p>
            <w:pPr>
              <w:spacing w:after="0" w:before="15"/>
            </w:pPr>
            <w:r>
              <w:rPr>
                <w:rFonts w:ascii="Calibri" w:cs="Calibri" w:eastAsia="Calibri" w:hAnsi="Calibri"/>
                <w:color w:val="B0C4D4"/>
                <w:sz w:val="16"/>
                <w:szCs w:val="16"/>
              </w:rPr>
              <w:t xml:space="preserve">  WordPress</w:t>
            </w:r>
          </w:p>
          <w:p>
            <w:pPr>
              <w:spacing w:after="0" w:before="15"/>
            </w:pPr>
            <w:r>
              <w:rPr>
                <w:rFonts w:ascii="Calibri" w:cs="Calibri" w:eastAsia="Calibri" w:hAnsi="Calibri"/>
                <w:color w:val="B0C4D4"/>
                <w:sz w:val="16"/>
                <w:szCs w:val="16"/>
              </w:rPr>
              <w:t xml:space="preserve">  Stratégie de contenu</w:t>
            </w:r>
          </w:p>
          <w:p>
            <w:pPr>
              <w:spacing w:after="0" w:before="240"/>
            </w:pPr>
            <w:r>
              <w:rPr>
                <w:rFonts w:ascii="Calibri" w:cs="Calibri" w:eastAsia="Calibri" w:hAnsi="Calibri"/>
                <w:b/>
                <w:bCs/>
                <w:color w:val="2E86AB"/>
                <w:sz w:val="20"/>
                <w:szCs w:val="20"/>
              </w:rPr>
              <w:t xml:space="preserve">LANGUES</w:t>
            </w:r>
          </w:p>
          <w:p>
            <w:pPr>
              <w:pBdr>
                <w:bottom w:val="single" w:color="2E86AB" w:sz="4" w:space="1"/>
              </w:pBdr>
              <w:spacing w:after="60" w:before="40"/>
            </w:pPr>
          </w:p>
          <w:p>
            <w:pPr>
              <w:spacing w:after="0" w:before="4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Français</w:t>
            </w:r>
            <w:r>
              <w:rPr>
                <w:rFonts w:ascii="Calibri" w:cs="Calibri" w:eastAsia="Calibri" w:hAnsi="Calibri"/>
                <w:color w:val="B0C4D4"/>
                <w:sz w:val="16"/>
                <w:szCs w:val="16"/>
              </w:rPr>
              <w:t xml:space="preserve"> — Langue maternelle</w:t>
            </w:r>
          </w:p>
          <w:p>
            <w:pPr>
              <w:spacing w:after="0" w:before="4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Anglais</w:t>
            </w:r>
            <w:r>
              <w:rPr>
                <w:rFonts w:ascii="Calibri" w:cs="Calibri" w:eastAsia="Calibri" w:hAnsi="Calibri"/>
                <w:color w:val="B0C4D4"/>
                <w:sz w:val="16"/>
                <w:szCs w:val="16"/>
              </w:rPr>
              <w:t xml:space="preserve"> — Courant (B2/C1)</w:t>
            </w:r>
          </w:p>
          <w:p>
            <w:pPr>
              <w:spacing w:after="0" w:before="4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Espagnol</w:t>
            </w:r>
            <w:r>
              <w:rPr>
                <w:rFonts w:ascii="Calibri" w:cs="Calibri" w:eastAsia="Calibri" w:hAnsi="Calibri"/>
                <w:color w:val="B0C4D4"/>
                <w:sz w:val="16"/>
                <w:szCs w:val="16"/>
              </w:rPr>
              <w:t xml:space="preserve"> — Notions</w:t>
            </w:r>
          </w:p>
          <w:p>
            <w:pPr>
              <w:spacing w:after="0" w:before="240"/>
            </w:pPr>
            <w:r>
              <w:rPr>
                <w:rFonts w:ascii="Calibri" w:cs="Calibri" w:eastAsia="Calibri" w:hAnsi="Calibri"/>
                <w:b/>
                <w:bCs/>
                <w:color w:val="2E86AB"/>
                <w:sz w:val="20"/>
                <w:szCs w:val="20"/>
              </w:rPr>
              <w:t xml:space="preserve">INTÉRÊTS</w:t>
            </w:r>
          </w:p>
          <w:p>
            <w:pPr>
              <w:pBdr>
                <w:bottom w:val="single" w:color="2E86AB" w:sz="4" w:space="1"/>
              </w:pBdr>
              <w:spacing w:after="60" w:before="40"/>
            </w:pPr>
          </w:p>
          <w:p>
            <w:pPr>
              <w:spacing w:after="0" w:before="80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Basketball · Guitare · Boxe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Investissement · Dév. personnel</w:t>
            </w:r>
          </w:p>
        </w:tc>
        <w:tc>
          <w:tcPr>
            <w:tcW w:type="dxa" w:w="8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0"/>
              <w:left w:type="dxa" w:w="450"/>
              <w:bottom w:type="dxa" w:w="400"/>
              <w:right w:type="dxa" w:w="450"/>
            </w:tcMar>
            <w:vAlign w:val="top"/>
          </w:tcPr>
          <w:p>
            <w:pPr>
              <w:pBdr>
                <w:bottom w:val="single" w:color="2E86AB" w:sz="6" w:space="2"/>
              </w:pBdr>
              <w:spacing w:after="0" w:before="18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22"/>
                <w:szCs w:val="22"/>
              </w:rPr>
              <w:t xml:space="preserve">PROFIL</w:t>
            </w:r>
          </w:p>
          <w:p>
            <w:pPr>
              <w:spacing w:after="50" w:before="90"/>
            </w:pP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Étudiant en BUT Techniques de Commercialisation (spé. Marketing Digital, E-Business &amp; Entrepreneuriat), avec une expérience concrète en analyse stratégique, pilotage de projets et management opérationnel. Recherche une Licence 3 en Management pour développer une expertise généraliste à la croisée de la stratégie, de la gestion et du marketing.</w:t>
            </w:r>
          </w:p>
          <w:p>
            <w:pPr>
              <w:pBdr>
                <w:bottom w:val="single" w:color="2E86AB" w:sz="6" w:space="2"/>
              </w:pBdr>
              <w:spacing w:after="0" w:before="18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22"/>
                <w:szCs w:val="22"/>
              </w:rPr>
              <w:t xml:space="preserve">EXPÉRIENCES</w:t>
            </w:r>
          </w:p>
          <w:p>
            <w:pPr>
              <w:spacing w:after="15" w:before="1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Stagiaire Consultant IA, Data &amp; SEO</w:t>
            </w:r>
            <w:r>
              <w:rPr>
                <w:rFonts w:ascii="Calibri" w:cs="Calibri" w:eastAsia="Calibri" w:hAnsi="Calibri"/>
                <w:color w:val="2E86AB"/>
                <w:sz w:val="19"/>
                <w:szCs w:val="19"/>
              </w:rPr>
              <w:t xml:space="preserve"> | TechGuys x Omnigo</w:t>
            </w:r>
          </w:p>
          <w:p>
            <w:pPr>
              <w:spacing w:after="35" w:before="0"/>
            </w:pPr>
            <w:r>
              <w:rPr>
                <w:rFonts w:ascii="Calibri" w:cs="Calibri" w:eastAsia="Calibri" w:hAnsi="Calibri"/>
                <w:i/>
                <w:iCs/>
                <w:color w:val="5A6B7C"/>
                <w:sz w:val="17"/>
                <w:szCs w:val="17"/>
              </w:rPr>
              <w:t xml:space="preserve">Mars 2026 – 5 juin 2026 · Montréal, Canada</w:t>
            </w:r>
          </w:p>
          <w:p>
            <w:pPr>
              <w:spacing w:after="8" w:before="25"/>
              <w:ind w:left="200"/>
            </w:pPr>
            <w:r>
              <w:rPr>
                <w:rFonts w:ascii="Calibri" w:cs="Calibri" w:eastAsia="Calibri" w:hAnsi="Calibri"/>
                <w:color w:val="2E86AB"/>
                <w:sz w:val="16"/>
                <w:szCs w:val="16"/>
              </w:rPr>
              <w:t xml:space="preserve">▸ 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Intégration de solutions d’intelligence artificielle dans des processus métier clients</w:t>
            </w:r>
          </w:p>
          <w:p>
            <w:pPr>
              <w:spacing w:after="8" w:before="25"/>
              <w:ind w:left="200"/>
            </w:pPr>
            <w:r>
              <w:rPr>
                <w:rFonts w:ascii="Calibri" w:cs="Calibri" w:eastAsia="Calibri" w:hAnsi="Calibri"/>
                <w:color w:val="2E86AB"/>
                <w:sz w:val="16"/>
                <w:szCs w:val="16"/>
              </w:rPr>
              <w:t xml:space="preserve">▸ 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Analyse de données et aide à la décision pour des missions de consulting</w:t>
            </w:r>
          </w:p>
          <w:p>
            <w:pPr>
              <w:spacing w:after="8" w:before="25"/>
              <w:ind w:left="200"/>
            </w:pPr>
            <w:r>
              <w:rPr>
                <w:rFonts w:ascii="Calibri" w:cs="Calibri" w:eastAsia="Calibri" w:hAnsi="Calibri"/>
                <w:color w:val="2E86AB"/>
                <w:sz w:val="16"/>
                <w:szCs w:val="16"/>
              </w:rPr>
              <w:t xml:space="preserve">▸ 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Développement d’un workflow SEO Audit et implémentation au sein de l’équipe</w:t>
            </w:r>
          </w:p>
          <w:p>
            <w:pPr>
              <w:spacing w:after="8" w:before="25"/>
              <w:ind w:left="200"/>
            </w:pPr>
            <w:r>
              <w:rPr>
                <w:rFonts w:ascii="Calibri" w:cs="Calibri" w:eastAsia="Calibri" w:hAnsi="Calibri"/>
                <w:color w:val="2E86AB"/>
                <w:sz w:val="16"/>
                <w:szCs w:val="16"/>
              </w:rPr>
              <w:t xml:space="preserve">▸ 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Gestion de projets en environnement international et multiculturel</w:t>
            </w:r>
          </w:p>
          <w:p>
            <w:pPr>
              <w:spacing w:after="15" w:before="1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Stagiaire Marketing Digital &amp; SEO</w:t>
            </w:r>
            <w:r>
              <w:rPr>
                <w:rFonts w:ascii="Calibri" w:cs="Calibri" w:eastAsia="Calibri" w:hAnsi="Calibri"/>
                <w:color w:val="2E86AB"/>
                <w:sz w:val="19"/>
                <w:szCs w:val="19"/>
              </w:rPr>
              <w:t xml:space="preserve"> | Panda Communication</w:t>
            </w:r>
          </w:p>
          <w:p>
            <w:pPr>
              <w:spacing w:after="35" w:before="0"/>
            </w:pPr>
            <w:r>
              <w:rPr>
                <w:rFonts w:ascii="Calibri" w:cs="Calibri" w:eastAsia="Calibri" w:hAnsi="Calibri"/>
                <w:i/>
                <w:iCs/>
                <w:color w:val="5A6B7C"/>
                <w:sz w:val="17"/>
                <w:szCs w:val="17"/>
              </w:rPr>
              <w:t xml:space="preserve">31/03/2025 – 24/05/2025 · Valenciennes</w:t>
            </w:r>
          </w:p>
          <w:p>
            <w:pPr>
              <w:spacing w:after="8" w:before="25"/>
              <w:ind w:left="200"/>
            </w:pPr>
            <w:r>
              <w:rPr>
                <w:rFonts w:ascii="Calibri" w:cs="Calibri" w:eastAsia="Calibri" w:hAnsi="Calibri"/>
                <w:color w:val="2E86AB"/>
                <w:sz w:val="16"/>
                <w:szCs w:val="16"/>
              </w:rPr>
              <w:t xml:space="preserve">▸ 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Réalisation d’audits SEO complets (technique, sémantique, netlinking) via Semrush et Screaming Frog</w:t>
            </w:r>
          </w:p>
          <w:p>
            <w:pPr>
              <w:spacing w:after="8" w:before="25"/>
              <w:ind w:left="200"/>
            </w:pPr>
            <w:r>
              <w:rPr>
                <w:rFonts w:ascii="Calibri" w:cs="Calibri" w:eastAsia="Calibri" w:hAnsi="Calibri"/>
                <w:color w:val="2E86AB"/>
                <w:sz w:val="16"/>
                <w:szCs w:val="16"/>
              </w:rPr>
              <w:t xml:space="preserve">▸ 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Suivi et analyse des KPIs de performance sur Google Analytics, recommandations d’optimisation</w:t>
            </w:r>
          </w:p>
          <w:p>
            <w:pPr>
              <w:spacing w:after="8" w:before="25"/>
              <w:ind w:left="200"/>
            </w:pPr>
            <w:r>
              <w:rPr>
                <w:rFonts w:ascii="Calibri" w:cs="Calibri" w:eastAsia="Calibri" w:hAnsi="Calibri"/>
                <w:color w:val="2E86AB"/>
                <w:sz w:val="16"/>
                <w:szCs w:val="16"/>
              </w:rPr>
              <w:t xml:space="preserve">▸ 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Contribution à la stratégie de contenu et au planning éditorial pour plusieurs clients</w:t>
            </w:r>
          </w:p>
          <w:p>
            <w:pPr>
              <w:spacing w:after="15" w:before="1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Responsable Communication Digitale</w:t>
            </w:r>
            <w:r>
              <w:rPr>
                <w:rFonts w:ascii="Calibri" w:cs="Calibri" w:eastAsia="Calibri" w:hAnsi="Calibri"/>
                <w:color w:val="2E86AB"/>
                <w:sz w:val="19"/>
                <w:szCs w:val="19"/>
              </w:rPr>
              <w:t xml:space="preserve"> | GreenTC</w:t>
            </w:r>
          </w:p>
          <w:p>
            <w:pPr>
              <w:spacing w:after="35" w:before="0"/>
            </w:pPr>
            <w:r>
              <w:rPr>
                <w:rFonts w:ascii="Calibri" w:cs="Calibri" w:eastAsia="Calibri" w:hAnsi="Calibri"/>
                <w:i/>
                <w:iCs/>
                <w:color w:val="5A6B7C"/>
                <w:sz w:val="17"/>
                <w:szCs w:val="17"/>
              </w:rPr>
              <w:t xml:space="preserve">Septembre 2024 – Présent · IUT Valenciennes</w:t>
            </w:r>
          </w:p>
          <w:p>
            <w:pPr>
              <w:spacing w:after="8" w:before="25"/>
              <w:ind w:left="200"/>
            </w:pPr>
            <w:r>
              <w:rPr>
                <w:rFonts w:ascii="Calibri" w:cs="Calibri" w:eastAsia="Calibri" w:hAnsi="Calibri"/>
                <w:color w:val="2E86AB"/>
                <w:sz w:val="16"/>
                <w:szCs w:val="16"/>
              </w:rPr>
              <w:t xml:space="preserve">▸ 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Pilotage de la stratégie de communication annuelle sur Instagram : planning éditorial, charte graphique, calendrier des actions</w:t>
            </w:r>
          </w:p>
          <w:p>
            <w:pPr>
              <w:spacing w:after="8" w:before="25"/>
              <w:ind w:left="200"/>
            </w:pPr>
            <w:r>
              <w:rPr>
                <w:rFonts w:ascii="Calibri" w:cs="Calibri" w:eastAsia="Calibri" w:hAnsi="Calibri"/>
                <w:color w:val="2E86AB"/>
                <w:sz w:val="16"/>
                <w:szCs w:val="16"/>
              </w:rPr>
              <w:t xml:space="preserve">▸ 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3 451 vues en 90 jours dont 26,4 % hors abonnés — portée organique dépassant la communauté IUT</w:t>
            </w:r>
          </w:p>
          <w:p>
            <w:pPr>
              <w:spacing w:after="8" w:before="25"/>
              <w:ind w:left="200"/>
            </w:pPr>
            <w:r>
              <w:rPr>
                <w:rFonts w:ascii="Calibri" w:cs="Calibri" w:eastAsia="Calibri" w:hAnsi="Calibri"/>
                <w:color w:val="2E86AB"/>
                <w:sz w:val="16"/>
                <w:szCs w:val="16"/>
              </w:rPr>
              <w:t xml:space="preserve">▸ 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Post friperie solidaire : 1 672 vues, meilleure performance du compte — effet viral sur audience fermée</w:t>
            </w:r>
          </w:p>
          <w:p>
            <w:pPr>
              <w:spacing w:after="8" w:before="25"/>
              <w:ind w:left="200"/>
            </w:pPr>
            <w:r>
              <w:rPr>
                <w:rFonts w:ascii="Calibri" w:cs="Calibri" w:eastAsia="Calibri" w:hAnsi="Calibri"/>
                <w:color w:val="2E86AB"/>
                <w:sz w:val="16"/>
                <w:szCs w:val="16"/>
              </w:rPr>
              <w:t xml:space="preserve">▸ 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Analyse comparative N-1 : performances 2024/2025 dépassant 2023/2024 en moins de 6 mois</w:t>
            </w:r>
          </w:p>
          <w:p>
            <w:pPr>
              <w:pBdr>
                <w:bottom w:val="single" w:color="2E86AB" w:sz="6" w:space="2"/>
              </w:pBdr>
              <w:spacing w:after="0" w:before="18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22"/>
                <w:szCs w:val="22"/>
              </w:rPr>
              <w:t xml:space="preserve">FORMATION</w:t>
            </w:r>
          </w:p>
          <w:p>
            <w:pPr>
              <w:spacing w:after="15" w:before="1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BUT Techniques de Commercialisation</w:t>
            </w:r>
            <w:r>
              <w:rPr>
                <w:rFonts w:ascii="Calibri" w:cs="Calibri" w:eastAsia="Calibri" w:hAnsi="Calibri"/>
                <w:color w:val="2E86AB"/>
                <w:sz w:val="19"/>
                <w:szCs w:val="19"/>
              </w:rPr>
              <w:t xml:space="preserve"> | IUT Valenciennes</w:t>
            </w:r>
          </w:p>
          <w:p>
            <w:pPr>
              <w:spacing w:after="35" w:before="0"/>
            </w:pPr>
            <w:r>
              <w:rPr>
                <w:rFonts w:ascii="Calibri" w:cs="Calibri" w:eastAsia="Calibri" w:hAnsi="Calibri"/>
                <w:i/>
                <w:iCs/>
                <w:color w:val="5A6B7C"/>
                <w:sz w:val="17"/>
                <w:szCs w:val="17"/>
              </w:rPr>
              <w:t xml:space="preserve">2022 – 2025</w:t>
            </w:r>
          </w:p>
          <w:p>
            <w:pPr>
              <w:spacing w:after="8" w:before="25"/>
              <w:ind w:left="200"/>
            </w:pPr>
            <w:r>
              <w:rPr>
                <w:rFonts w:ascii="Calibri" w:cs="Calibri" w:eastAsia="Calibri" w:hAnsi="Calibri"/>
                <w:color w:val="2E86AB"/>
                <w:sz w:val="16"/>
                <w:szCs w:val="16"/>
              </w:rPr>
              <w:t xml:space="preserve">▸ 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Spécialisation : Marketing Digital, E-Business &amp; Entrepreneuriat</w:t>
            </w:r>
          </w:p>
          <w:p>
            <w:pPr>
              <w:spacing w:after="8" w:before="25"/>
              <w:ind w:left="200"/>
            </w:pPr>
            <w:r>
              <w:rPr>
                <w:rFonts w:ascii="Calibri" w:cs="Calibri" w:eastAsia="Calibri" w:hAnsi="Calibri"/>
                <w:color w:val="2E86AB"/>
                <w:sz w:val="16"/>
                <w:szCs w:val="16"/>
              </w:rPr>
              <w:t xml:space="preserve">▸ 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Modules : analyse stratégique, gestion financière, droit des affaires, négociation commerciale</w:t>
            </w:r>
          </w:p>
          <w:p>
            <w:pPr>
              <w:spacing w:after="15" w:before="14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Bac Pro Systèmes Numériques</w:t>
            </w:r>
            <w:r>
              <w:rPr>
                <w:rFonts w:ascii="Calibri" w:cs="Calibri" w:eastAsia="Calibri" w:hAnsi="Calibri"/>
                <w:color w:val="2E86AB"/>
                <w:sz w:val="19"/>
                <w:szCs w:val="19"/>
              </w:rPr>
              <w:t xml:space="preserve"> | Établissement</w:t>
            </w:r>
          </w:p>
          <w:p>
            <w:pPr>
              <w:spacing w:after="35" w:before="0"/>
            </w:pPr>
            <w:r>
              <w:rPr>
                <w:rFonts w:ascii="Calibri" w:cs="Calibri" w:eastAsia="Calibri" w:hAnsi="Calibri"/>
                <w:i/>
                <w:iCs/>
                <w:color w:val="5A6B7C"/>
                <w:sz w:val="17"/>
                <w:szCs w:val="17"/>
              </w:rPr>
              <w:t xml:space="preserve">2019 – 2022 · Mention Très Bien</w:t>
            </w:r>
          </w:p>
          <w:p>
            <w:pPr>
              <w:spacing w:after="8" w:before="25"/>
              <w:ind w:left="200"/>
            </w:pPr>
            <w:r>
              <w:rPr>
                <w:rFonts w:ascii="Calibri" w:cs="Calibri" w:eastAsia="Calibri" w:hAnsi="Calibri"/>
                <w:color w:val="2E86AB"/>
                <w:sz w:val="16"/>
                <w:szCs w:val="16"/>
              </w:rPr>
              <w:t xml:space="preserve">▸ 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Socle analytique et technique à l’origine de la reconversion vers le marketing digital</w:t>
            </w:r>
          </w:p>
          <w:p>
            <w:pPr>
              <w:pBdr>
                <w:bottom w:val="single" w:color="2E86AB" w:sz="6" w:space="2"/>
              </w:pBdr>
              <w:spacing w:after="0" w:before="180"/>
            </w:pPr>
            <w:r>
              <w:rPr>
                <w:rFonts w:ascii="Calibri" w:cs="Calibri" w:eastAsia="Calibri" w:hAnsi="Calibri"/>
                <w:b/>
                <w:bCs/>
                <w:color w:val="1A2B3C"/>
                <w:sz w:val="22"/>
                <w:szCs w:val="22"/>
              </w:rPr>
              <w:t xml:space="preserve">PROJETS</w:t>
            </w:r>
          </w:p>
          <w:p>
            <w:pPr>
              <w:spacing w:after="25" w:before="12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WaterBreaker</w:t>
            </w:r>
            <w:r>
              <w:rPr>
                <w:rFonts w:ascii="Calibri" w:cs="Calibri" w:eastAsia="Calibri" w:hAnsi="Calibri"/>
                <w:i/>
                <w:iCs/>
                <w:color w:val="5A6B7C"/>
                <w:sz w:val="17"/>
                <w:szCs w:val="17"/>
              </w:rPr>
              <w:t xml:space="preserve">  —  Système de prévention domotique</w:t>
            </w:r>
          </w:p>
          <w:p>
            <w:pPr>
              <w:spacing w:after="8" w:before="25"/>
              <w:ind w:left="200"/>
            </w:pPr>
            <w:r>
              <w:rPr>
                <w:rFonts w:ascii="Calibri" w:cs="Calibri" w:eastAsia="Calibri" w:hAnsi="Calibri"/>
                <w:color w:val="2E86AB"/>
                <w:sz w:val="16"/>
                <w:szCs w:val="16"/>
              </w:rPr>
              <w:t xml:space="preserve">▸ 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Analyse PESTEL, SWOT et benchmark concurrentiel · Business Model Canvas et mix marketing 4P</w:t>
            </w:r>
          </w:p>
          <w:p>
            <w:pPr>
              <w:spacing w:after="8" w:before="25"/>
              <w:ind w:left="200"/>
            </w:pPr>
            <w:r>
              <w:rPr>
                <w:rFonts w:ascii="Calibri" w:cs="Calibri" w:eastAsia="Calibri" w:hAnsi="Calibri"/>
                <w:color w:val="2E86AB"/>
                <w:sz w:val="16"/>
                <w:szCs w:val="16"/>
              </w:rPr>
              <w:t xml:space="preserve">▸ 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Modèle économique complet, proposition de valeur et pitch investisseurs</w:t>
            </w:r>
          </w:p>
          <w:p>
            <w:pPr>
              <w:spacing w:after="25" w:before="12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MateBoost</w:t>
            </w:r>
            <w:r>
              <w:rPr>
                <w:rFonts w:ascii="Calibri" w:cs="Calibri" w:eastAsia="Calibri" w:hAnsi="Calibri"/>
                <w:i/>
                <w:iCs/>
                <w:color w:val="5A6B7C"/>
                <w:sz w:val="17"/>
                <w:szCs w:val="17"/>
              </w:rPr>
              <w:t xml:space="preserve">  —  Marque de maté commerce équitable</w:t>
            </w:r>
          </w:p>
          <w:p>
            <w:pPr>
              <w:spacing w:after="8" w:before="25"/>
              <w:ind w:left="200"/>
            </w:pPr>
            <w:r>
              <w:rPr>
                <w:rFonts w:ascii="Calibri" w:cs="Calibri" w:eastAsia="Calibri" w:hAnsi="Calibri"/>
                <w:color w:val="2E86AB"/>
                <w:sz w:val="16"/>
                <w:szCs w:val="16"/>
              </w:rPr>
              <w:t xml:space="preserve">▸ 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Étude de marché, stratégie go-to-market, identité de marque et plan de communication digitale</w:t>
            </w:r>
          </w:p>
          <w:p>
            <w:pPr>
              <w:spacing w:after="25" w:before="12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Business Game</w:t>
            </w:r>
            <w:r>
              <w:rPr>
                <w:rFonts w:ascii="Calibri" w:cs="Calibri" w:eastAsia="Calibri" w:hAnsi="Calibri"/>
                <w:i/>
                <w:iCs/>
                <w:color w:val="5A6B7C"/>
                <w:sz w:val="17"/>
                <w:szCs w:val="17"/>
              </w:rPr>
              <w:t xml:space="preserve">  —  2è place — UPHF 2024</w:t>
            </w:r>
          </w:p>
          <w:p>
            <w:pPr>
              <w:spacing w:after="8" w:before="25"/>
              <w:ind w:left="200"/>
            </w:pPr>
            <w:r>
              <w:rPr>
                <w:rFonts w:ascii="Calibri" w:cs="Calibri" w:eastAsia="Calibri" w:hAnsi="Calibri"/>
                <w:color w:val="2E86AB"/>
                <w:sz w:val="16"/>
                <w:szCs w:val="16"/>
              </w:rPr>
              <w:t xml:space="preserve">▸ 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Responsable comptabilité (compte de résultat, bilan) et marketing sur simulation de gestion pluriannuelle</w:t>
            </w:r>
          </w:p>
          <w:p>
            <w:pPr>
              <w:spacing w:after="8" w:before="25"/>
              <w:ind w:left="200"/>
            </w:pPr>
            <w:r>
              <w:rPr>
                <w:rFonts w:ascii="Calibri" w:cs="Calibri" w:eastAsia="Calibri" w:hAnsi="Calibri"/>
                <w:color w:val="2E86AB"/>
                <w:sz w:val="16"/>
                <w:szCs w:val="16"/>
              </w:rPr>
              <w:t xml:space="preserve">▸ 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Décisions stratégiques en équipe : correction d’écarts, pilotage des prix et du budget communication</w:t>
            </w:r>
          </w:p>
          <w:p>
            <w:pPr>
              <w:spacing w:after="25" w:before="12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NewCom</w:t>
            </w:r>
            <w:r>
              <w:rPr>
                <w:rFonts w:ascii="Calibri" w:cs="Calibri" w:eastAsia="Calibri" w:hAnsi="Calibri"/>
                <w:i/>
                <w:iCs/>
                <w:color w:val="5A6B7C"/>
                <w:sz w:val="17"/>
                <w:szCs w:val="17"/>
              </w:rPr>
              <w:t xml:space="preserve">  —  Simulation de négociation commerciale</w:t>
            </w:r>
          </w:p>
          <w:p>
            <w:pPr>
              <w:spacing w:after="8" w:before="25"/>
              <w:ind w:left="200"/>
            </w:pPr>
            <w:r>
              <w:rPr>
                <w:rFonts w:ascii="Calibri" w:cs="Calibri" w:eastAsia="Calibri" w:hAnsi="Calibri"/>
                <w:color w:val="2E86AB"/>
                <w:sz w:val="16"/>
                <w:szCs w:val="16"/>
              </w:rPr>
              <w:t xml:space="preserve">▸ 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Construction d’une offre sur-mesure, entretien de vente structuré et gestion des objections</w:t>
            </w:r>
          </w:p>
          <w:p>
            <w:pPr>
              <w:spacing w:after="25" w:before="12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Restos du Cœur</w:t>
            </w:r>
            <w:r>
              <w:rPr>
                <w:rFonts w:ascii="Calibri" w:cs="Calibri" w:eastAsia="Calibri" w:hAnsi="Calibri"/>
                <w:i/>
                <w:iCs/>
                <w:color w:val="5A6B7C"/>
                <w:sz w:val="17"/>
                <w:szCs w:val="17"/>
              </w:rPr>
              <w:t xml:space="preserve">  —  Prospection BtoB pour dons</w:t>
            </w:r>
          </w:p>
          <w:p>
            <w:pPr>
              <w:spacing w:after="8" w:before="25"/>
              <w:ind w:left="200"/>
            </w:pPr>
            <w:r>
              <w:rPr>
                <w:rFonts w:ascii="Calibri" w:cs="Calibri" w:eastAsia="Calibri" w:hAnsi="Calibri"/>
                <w:color w:val="2E86AB"/>
                <w:sz w:val="16"/>
                <w:szCs w:val="16"/>
              </w:rPr>
              <w:t xml:space="preserve">▸ 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Campagne téléphonique : adaptation du discours par profil d’interlocuteur, gestion du rejet, alignement valeurs / cause</w:t>
            </w:r>
          </w:p>
        </w:tc>
      </w:tr>
    </w:tbl>
    <w:sectPr>
      <w:pgSz w:w="11906" w:h="16838" w:orient="portrait"/>
      <w:pgMar w:top="400" w:right="0" w:bottom="40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2D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mczf8zfxaxe-uxnlkz5d" Type="http://schemas.openxmlformats.org/officeDocument/2006/relationships/hyperlink" Target="https://linkedin.com/in/LeoCouchoud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2026-03-29T18:37:49.505Z</dcterms:created>
  <dcterms:modified xsi:type="dcterms:W3CDTF">2026-03-29T18:37:49.506Z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