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Análise da Sazonalidade das exportações de São Paulo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sazonalidade no comércio refere-se às flutuações na demanda ao longo do ano devido a fatores como datas comemorativas, clima, colheitas agrícolas e eventos econômicos. No Estado de São Paulo, a análise desses padrões permite entender como as empresas ajustam a produção para atender às variações de consumo e exportação.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Introdução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sazonalidade no comércio do estado de São Paulo entre 2013 a 2025 apresentou padrões distintos, especialmente devido a eventos como a pandemia de COVID-19. Tradicionalmente, o comércio paulista registrava picos de vendas nos meses de outubro, novembro e dezembro, impulsionados por datas comemorativas como o Dia das Crianças, Black Friday e Natal. Esses meses representavam, em média, 27,7% das vendas anuais entre 2015 e 2019, com dezembro liderando com 10,3%, seguido por novembro (8,9%) e outubro (8,5%).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Entretanto, em 2020, as medidas restritivas adotadas para conter a pandemia alteraram significativamente esse padrão. Meses que tradicionalmente apresentavam vendas mais modestas, como maio e junho, tornaram-se mais relevantes devido à reabertura gradual do comércio após períodos de fechamento. Maio de 2020 registrou um aumento de 15,4% nas vendas em relação a abril, que havia sofrido uma queda de 24,4%. Junho também apresentou crescimento de 13,4%, refletindo a demanda reprimida durante as restrições mais rígidas.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Além disso, o segundo semestre de 2020 foi mais favorável para o comércio, correspondendo a 56% do faturamento anual, uma diferença de R$ 20 bilhões em comparação com o primeiro semestre. Essa mudança deve-se, em grande parte, às flexibilizações das medidas restritivas que ocorreram nesse período. 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Setores específicos também sentiram os impactos dessas mudanças sazonais. Lojas de roupas e calçados, por exemplo, perderam 24% de participação no faturamento total do varejo, enquanto concessionárias de veículos tiveram uma redução de 20,3%. Por outro lado, lojas de materiais de construção e de móveis e decoração viram suas participações aumentarem em 20% e 13,5%, respectivamente, beneficiadas pela realocação dos gastos dos consumidores durante a quarentena.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Embora os dados específicos para os anos subsequentes não estejam disponíveis nas fontes consultadas, é razoável supor que, com a retomada das atividades econômicas e o avanço da vacinação, o comércio paulista tenha gradualmente retornado aos padrões sazonais pré-pandemia. No entanto, é importante considerar que mudanças nos hábitos de consumo e a crescente digitalização do varejo podem ter introduzido novas dinâmicas na demanda ao longo do ano.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Exportações e Importações</w:t>
      </w:r>
      <w:r w:rsidDel="00000000" w:rsidR="00000000" w:rsidRPr="00000000">
        <w:rPr>
          <w:rtl w:val="0"/>
        </w:rPr>
        <w:t xml:space="preserve">: Entre 2013 a 2025, as exportações paulistas cresceram 34,7%, enquanto as importações caíram 20,1%, reduzindo o déficit comercial de US$ 36,9 bilhões para US$ 722 milhões.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Mudança na Composição das Exportações</w:t>
      </w:r>
      <w:r w:rsidDel="00000000" w:rsidR="00000000" w:rsidRPr="00000000">
        <w:rPr>
          <w:rtl w:val="0"/>
        </w:rPr>
        <w:t xml:space="preserve">: A participação da indústria de transformação caiu de 95,6% para 86,5%, enquanto produtos da indústria extrativa (petróleo e gás) e agropecuária (açúcar e soja) ganharam espaço.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Agropecuária e Indústria de Alimentos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Esses setores têm forte variação sazonal, com picos de exportação dependendo da safra de açúcar e soja.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Indústria Automobilística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A produção e exportação de veículos registraram variações ao longo dos anos, com oscilações sazonais influenciadas por demanda externa e interna.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Petróleo e Gás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A demanda por combustíveis pode sofrer oscilações relacionadas a fatores sazonais, como consumo interno no inverno e verão.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Destaque Regional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A Região Metropolitana de São Paulo perdeu participação nas exportações, enquanto as regiões de Campinas, São José dos Campos, Santos e Sorocaba cresceram.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São José dos Campos viu um aumento nas exportações de petróleo e derivados, enquanto as vendas de aeronaves e veículos caíram devido a parcerias e mudanças na produção.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Campinas e Sorocaba destacaram-se pelo crescimento nas exportações de veículos, especialmente em Sorocaba com a Toyota. Em Campinas, as máquinas e equipamentos lideraram as exportações.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Região Administrativa Central, antes agrícola, passou a exportar mais aeronaves, após a instalação da Embraer, enquanto as exportações de produtos agrícolas, como açúcar e derivados de frutas, tiveram variações.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Considerações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</w:t>
      </w:r>
      <w:r w:rsidDel="00000000" w:rsidR="00000000" w:rsidRPr="00000000">
        <w:rPr>
          <w:highlight w:val="white"/>
          <w:rtl w:val="0"/>
        </w:rPr>
        <w:t xml:space="preserve"> Região Metropolitana de São Paulo, apesar de continuar liderando as exportações estaduais, foi a que registrou maior perda de participação ao passar de 33,7% (2013) para 21,7% (2023). Já as RAs (Regiões Administrativas) de Campinas, São José dos Campos, Santos e Sorocaba avançaram, permitindo que essas cinco regiões, com atividades industriais diversificadas e de maior valor agregado, concentrassem, 2023, 72,2% das exportações do Estado de São Paulo.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Em </w:t>
      </w:r>
      <w:r w:rsidDel="00000000" w:rsidR="00000000" w:rsidRPr="00000000">
        <w:rPr>
          <w:b w:val="1"/>
          <w:highlight w:val="white"/>
          <w:rtl w:val="0"/>
        </w:rPr>
        <w:t xml:space="preserve">2020</w:t>
      </w:r>
      <w:r w:rsidDel="00000000" w:rsidR="00000000" w:rsidRPr="00000000">
        <w:rPr>
          <w:highlight w:val="white"/>
          <w:rtl w:val="0"/>
        </w:rPr>
        <w:t xml:space="preserve">, a pandemia alterou padrões tradicionais, levando a quedas bruscas na demanda no primeiro semestre e recuperação acelerada no segundo, a demanda por </w:t>
      </w:r>
      <w:r w:rsidDel="00000000" w:rsidR="00000000" w:rsidRPr="00000000">
        <w:rPr>
          <w:b w:val="1"/>
          <w:highlight w:val="white"/>
          <w:rtl w:val="0"/>
        </w:rPr>
        <w:t xml:space="preserve">produtos médicos e farmacêuticos</w:t>
      </w:r>
      <w:r w:rsidDel="00000000" w:rsidR="00000000" w:rsidRPr="00000000">
        <w:rPr>
          <w:highlight w:val="white"/>
          <w:rtl w:val="0"/>
        </w:rPr>
        <w:t xml:space="preserve"> cresceu, impactando a balança comercial e ajustes na produção industrial.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Já as demais regiões, seguindo a alta de preços das commodities no mercado internacional, aumentaram suas vendas externas de produtos de origem agropecuária, elevando sua participação nas exportações estaduais de 22,7% (2013) para 27,8% (2023). Esses resultados confirmam que a dinâmica do interior paulista continua apoiada em atividades de baixa intensidade tecnológica.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Em 2025 espera-se que a economia paulista já tenha se estabilizado e nos nos próximos anos estarão sujeitas a uma combinação de fatores internos (como mudanças regionais e industriais) e externos (como a digitalização, mudanças nas cadeias globais de suprimento e tendências de consumo global). Espera-se que a inovação tecnológica, a sustentabilidade e a adaptação às novas dinâmicas globais desempenhem papéis significativos no comportamento sazonal das exportações do estado.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Principais produtos exportados por algumas regiões: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422.57668711656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3.680981595092"/>
        <w:gridCol w:w="1634.3558282208592"/>
        <w:gridCol w:w="1784.5398773006136"/>
        <w:tblGridChange w:id="0">
          <w:tblGrid>
            <w:gridCol w:w="3003.680981595092"/>
            <w:gridCol w:w="1634.3558282208592"/>
            <w:gridCol w:w="1784.539877300613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right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right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595d69"/>
                <w:sz w:val="24"/>
                <w:szCs w:val="24"/>
                <w:highlight w:val="white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b w:val="1"/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595d69"/>
                <w:sz w:val="24"/>
                <w:szCs w:val="24"/>
                <w:highlight w:val="white"/>
                <w:rtl w:val="0"/>
              </w:rPr>
              <w:t xml:space="preserve">               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595d69"/>
                <w:sz w:val="24"/>
                <w:szCs w:val="24"/>
                <w:highlight w:val="white"/>
                <w:rtl w:val="0"/>
              </w:rPr>
              <w:t xml:space="preserve">RA São Paulo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right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right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6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95d69"/>
                <w:sz w:val="24"/>
                <w:szCs w:val="24"/>
                <w:highlight w:val="white"/>
                <w:rtl w:val="0"/>
              </w:rPr>
              <w:t xml:space="preserve">Automóveis, outros veículos terrestres e seus acessórios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right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95d69"/>
                <w:sz w:val="24"/>
                <w:szCs w:val="24"/>
                <w:highlight w:val="white"/>
                <w:rtl w:val="0"/>
              </w:rPr>
              <w:t xml:space="preserve">18,2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right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95d69"/>
                <w:sz w:val="24"/>
                <w:szCs w:val="24"/>
                <w:highlight w:val="white"/>
                <w:rtl w:val="0"/>
              </w:rPr>
              <w:t xml:space="preserve">21,4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6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95d69"/>
                <w:sz w:val="24"/>
                <w:szCs w:val="24"/>
                <w:highlight w:val="white"/>
                <w:rtl w:val="0"/>
              </w:rPr>
              <w:t xml:space="preserve">Máquinas e equipamentos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right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95d69"/>
                <w:sz w:val="24"/>
                <w:szCs w:val="24"/>
                <w:highlight w:val="white"/>
                <w:rtl w:val="0"/>
              </w:rPr>
              <w:t xml:space="preserve">9,1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jc w:val="right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95d69"/>
                <w:sz w:val="24"/>
                <w:szCs w:val="24"/>
                <w:highlight w:val="white"/>
                <w:rtl w:val="0"/>
              </w:rPr>
              <w:t xml:space="preserve">10,2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6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95d69"/>
                <w:sz w:val="24"/>
                <w:szCs w:val="24"/>
                <w:highlight w:val="white"/>
                <w:rtl w:val="0"/>
              </w:rPr>
              <w:t xml:space="preserve">Açúcares e produtos de confeitaria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right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95d69"/>
                <w:sz w:val="24"/>
                <w:szCs w:val="24"/>
                <w:highlight w:val="white"/>
                <w:rtl w:val="0"/>
              </w:rPr>
              <w:t xml:space="preserve">9,7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right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95d69"/>
                <w:sz w:val="24"/>
                <w:szCs w:val="24"/>
                <w:highlight w:val="white"/>
                <w:rtl w:val="0"/>
              </w:rPr>
              <w:t xml:space="preserve">9,2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595d69"/>
                <w:sz w:val="24"/>
                <w:szCs w:val="24"/>
                <w:highlight w:val="white"/>
                <w:rtl w:val="0"/>
              </w:rPr>
              <w:t xml:space="preserve">RA Campinas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right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right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6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95d69"/>
                <w:sz w:val="24"/>
                <w:szCs w:val="24"/>
                <w:highlight w:val="white"/>
                <w:rtl w:val="0"/>
              </w:rPr>
              <w:t xml:space="preserve">Máquinas e equipamentos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right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95d69"/>
                <w:sz w:val="24"/>
                <w:szCs w:val="24"/>
                <w:highlight w:val="white"/>
                <w:rtl w:val="0"/>
              </w:rPr>
              <w:t xml:space="preserve">28,7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right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95d69"/>
                <w:sz w:val="24"/>
                <w:szCs w:val="24"/>
                <w:highlight w:val="white"/>
                <w:rtl w:val="0"/>
              </w:rPr>
              <w:t xml:space="preserve">32,2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6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95d69"/>
                <w:sz w:val="24"/>
                <w:szCs w:val="24"/>
                <w:highlight w:val="white"/>
                <w:rtl w:val="0"/>
              </w:rPr>
              <w:t xml:space="preserve">Automóveis, outros veículos terrestres e seus acessórios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right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95d69"/>
                <w:sz w:val="24"/>
                <w:szCs w:val="24"/>
                <w:highlight w:val="white"/>
                <w:rtl w:val="0"/>
              </w:rPr>
              <w:t xml:space="preserve">12,1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jc w:val="right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95d69"/>
                <w:sz w:val="24"/>
                <w:szCs w:val="24"/>
                <w:highlight w:val="white"/>
                <w:rtl w:val="0"/>
              </w:rPr>
              <w:t xml:space="preserve">7,2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6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95d69"/>
                <w:sz w:val="24"/>
                <w:szCs w:val="24"/>
                <w:highlight w:val="white"/>
                <w:rtl w:val="0"/>
              </w:rPr>
              <w:t xml:space="preserve">Máquinas e materiais elétricos, de telefonia, de fotografia e suas partes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jc w:val="right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95d69"/>
                <w:sz w:val="24"/>
                <w:szCs w:val="24"/>
                <w:highlight w:val="white"/>
                <w:rtl w:val="0"/>
              </w:rPr>
              <w:t xml:space="preserve">6,7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right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95d69"/>
                <w:sz w:val="24"/>
                <w:szCs w:val="24"/>
                <w:highlight w:val="white"/>
                <w:rtl w:val="0"/>
              </w:rPr>
              <w:t xml:space="preserve">5,4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595d69"/>
                <w:sz w:val="24"/>
                <w:szCs w:val="24"/>
                <w:highlight w:val="white"/>
                <w:rtl w:val="0"/>
              </w:rPr>
              <w:t xml:space="preserve">RA São José dos Campos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jc w:val="right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right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6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95d69"/>
                <w:sz w:val="24"/>
                <w:szCs w:val="24"/>
                <w:highlight w:val="white"/>
                <w:rtl w:val="0"/>
              </w:rPr>
              <w:t xml:space="preserve">Combustíveis minerais, óleos minerais e produtos da sua destilação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jc w:val="right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95d69"/>
                <w:sz w:val="24"/>
                <w:szCs w:val="24"/>
                <w:highlight w:val="white"/>
                <w:rtl w:val="0"/>
              </w:rPr>
              <w:t xml:space="preserve">4,9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right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95d69"/>
                <w:sz w:val="24"/>
                <w:szCs w:val="24"/>
                <w:highlight w:val="white"/>
                <w:rtl w:val="0"/>
              </w:rPr>
              <w:t xml:space="preserve">48,7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6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95d69"/>
                <w:sz w:val="24"/>
                <w:szCs w:val="24"/>
                <w:highlight w:val="white"/>
                <w:rtl w:val="0"/>
              </w:rPr>
              <w:t xml:space="preserve">Aeronaves e aparelhos espaciais, e suas partes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right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95d69"/>
                <w:sz w:val="24"/>
                <w:szCs w:val="24"/>
                <w:highlight w:val="white"/>
                <w:rtl w:val="0"/>
              </w:rPr>
              <w:t xml:space="preserve">50,7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right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95d69"/>
                <w:sz w:val="24"/>
                <w:szCs w:val="24"/>
                <w:highlight w:val="white"/>
                <w:rtl w:val="0"/>
              </w:rPr>
              <w:t xml:space="preserve">19,1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6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95d69"/>
                <w:sz w:val="24"/>
                <w:szCs w:val="24"/>
                <w:highlight w:val="white"/>
                <w:rtl w:val="0"/>
              </w:rPr>
              <w:t xml:space="preserve">Automóveis, outros veículos terrestres e seus acessórios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right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95d69"/>
                <w:sz w:val="24"/>
                <w:szCs w:val="24"/>
                <w:highlight w:val="white"/>
                <w:rtl w:val="0"/>
              </w:rPr>
              <w:t xml:space="preserve">17,0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jc w:val="right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95d69"/>
                <w:sz w:val="24"/>
                <w:szCs w:val="24"/>
                <w:highlight w:val="white"/>
                <w:rtl w:val="0"/>
              </w:rPr>
              <w:t xml:space="preserve">5,6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595d69"/>
                <w:sz w:val="24"/>
                <w:szCs w:val="24"/>
                <w:highlight w:val="white"/>
                <w:rtl w:val="0"/>
              </w:rPr>
              <w:t xml:space="preserve">RA Santos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jc w:val="right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jc w:val="right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6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95d69"/>
                <w:sz w:val="24"/>
                <w:szCs w:val="24"/>
                <w:highlight w:val="white"/>
                <w:rtl w:val="0"/>
              </w:rPr>
              <w:t xml:space="preserve">Sementes, grãos, frutos diversos e plantas industriais ou medicinais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jc w:val="right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95d69"/>
                <w:sz w:val="24"/>
                <w:szCs w:val="24"/>
                <w:highlight w:val="white"/>
                <w:rtl w:val="0"/>
              </w:rPr>
              <w:t xml:space="preserve">14,7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jc w:val="right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95d69"/>
                <w:sz w:val="24"/>
                <w:szCs w:val="24"/>
                <w:highlight w:val="white"/>
                <w:rtl w:val="0"/>
              </w:rPr>
              <w:t xml:space="preserve">38,0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6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95d69"/>
                <w:sz w:val="24"/>
                <w:szCs w:val="24"/>
                <w:highlight w:val="white"/>
                <w:rtl w:val="0"/>
              </w:rPr>
              <w:t xml:space="preserve">Combustíveis minerais, óleos minerais e produtos da sua destilação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jc w:val="right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95d69"/>
                <w:sz w:val="24"/>
                <w:szCs w:val="24"/>
                <w:highlight w:val="white"/>
                <w:rtl w:val="0"/>
              </w:rPr>
              <w:t xml:space="preserve">15,1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jc w:val="right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95d69"/>
                <w:sz w:val="24"/>
                <w:szCs w:val="24"/>
                <w:highlight w:val="white"/>
                <w:rtl w:val="0"/>
              </w:rPr>
              <w:t xml:space="preserve">26,0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6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95d69"/>
                <w:sz w:val="24"/>
                <w:szCs w:val="24"/>
                <w:highlight w:val="white"/>
                <w:rtl w:val="0"/>
              </w:rPr>
              <w:t xml:space="preserve">Açúcares e produtos de confeitaria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jc w:val="right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95d69"/>
                <w:sz w:val="24"/>
                <w:szCs w:val="24"/>
                <w:highlight w:val="white"/>
                <w:rtl w:val="0"/>
              </w:rPr>
              <w:t xml:space="preserve">22,1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jc w:val="right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95d69"/>
                <w:sz w:val="24"/>
                <w:szCs w:val="24"/>
                <w:highlight w:val="white"/>
                <w:rtl w:val="0"/>
              </w:rPr>
              <w:t xml:space="preserve">12,7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595d69"/>
                <w:sz w:val="24"/>
                <w:szCs w:val="24"/>
                <w:highlight w:val="white"/>
                <w:rtl w:val="0"/>
              </w:rPr>
              <w:t xml:space="preserve">RA Sorocaba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jc w:val="right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jc w:val="right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6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95d69"/>
                <w:sz w:val="24"/>
                <w:szCs w:val="24"/>
                <w:highlight w:val="white"/>
                <w:rtl w:val="0"/>
              </w:rPr>
              <w:t xml:space="preserve">Automóveis, outros veículos terrestres e seus acessórios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jc w:val="right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95d69"/>
                <w:sz w:val="24"/>
                <w:szCs w:val="24"/>
                <w:highlight w:val="white"/>
                <w:rtl w:val="0"/>
              </w:rPr>
              <w:t xml:space="preserve">17,1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jc w:val="right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95d69"/>
                <w:sz w:val="24"/>
                <w:szCs w:val="24"/>
                <w:highlight w:val="white"/>
                <w:rtl w:val="0"/>
              </w:rPr>
              <w:t xml:space="preserve">30,8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6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95d69"/>
                <w:sz w:val="24"/>
                <w:szCs w:val="24"/>
                <w:highlight w:val="white"/>
                <w:rtl w:val="0"/>
              </w:rPr>
              <w:t xml:space="preserve">Máquinas e equipamentos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jc w:val="right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95d69"/>
                <w:sz w:val="24"/>
                <w:szCs w:val="24"/>
                <w:highlight w:val="white"/>
                <w:rtl w:val="0"/>
              </w:rPr>
              <w:t xml:space="preserve">18,4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jc w:val="right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95d69"/>
                <w:sz w:val="24"/>
                <w:szCs w:val="24"/>
                <w:highlight w:val="white"/>
                <w:rtl w:val="0"/>
              </w:rPr>
              <w:t xml:space="preserve">15,6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6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95d69"/>
                <w:sz w:val="24"/>
                <w:szCs w:val="24"/>
                <w:highlight w:val="white"/>
                <w:rtl w:val="0"/>
              </w:rPr>
              <w:t xml:space="preserve">Sementes, grãos, frutos diversos e plantas industriais ou medicinais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jc w:val="right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95d69"/>
                <w:sz w:val="24"/>
                <w:szCs w:val="24"/>
                <w:highlight w:val="white"/>
                <w:rtl w:val="0"/>
              </w:rPr>
              <w:t xml:space="preserve">1,7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color w:val="595d6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Fontes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https://www.fecomercio.com.br/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https://municipios.seade.gov.br/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fecomercio.com.br/" TargetMode="External"/><Relationship Id="rId8" Type="http://schemas.openxmlformats.org/officeDocument/2006/relationships/hyperlink" Target="https://municipios.seade.gov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