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BA8EB2" w14:textId="77777777" w:rsidR="00476718" w:rsidRPr="007F1B5B" w:rsidRDefault="00000000" w:rsidP="007F1B5B">
      <w:pPr>
        <w:spacing w:before="480" w:after="40"/>
        <w:jc w:val="center"/>
        <w:rPr>
          <w:lang w:val="it-IT"/>
        </w:rPr>
      </w:pPr>
      <w:r w:rsidRPr="007F1B5B">
        <w:rPr>
          <w:b/>
          <w:sz w:val="34"/>
          <w:lang w:val="it-IT"/>
        </w:rPr>
        <w:t>Due generazioni a confronto</w:t>
      </w:r>
    </w:p>
    <w:p w14:paraId="4D013BD3" w14:textId="77777777" w:rsidR="00476718" w:rsidRPr="007F1B5B" w:rsidRDefault="00000000" w:rsidP="007F1B5B">
      <w:pPr>
        <w:spacing w:after="80"/>
        <w:jc w:val="center"/>
        <w:rPr>
          <w:lang w:val="it-IT"/>
        </w:rPr>
      </w:pPr>
      <w:r w:rsidRPr="007F1B5B">
        <w:rPr>
          <w:sz w:val="22"/>
          <w:lang w:val="it-IT"/>
        </w:rPr>
        <w:t>Come la riforma agisce su chi esce dal lavoro e su chi vi entra</w:t>
      </w:r>
    </w:p>
    <w:p w14:paraId="4360DC7A" w14:textId="77777777" w:rsidR="00476718" w:rsidRPr="007F1B5B" w:rsidRDefault="00000000" w:rsidP="007F1B5B">
      <w:pPr>
        <w:spacing w:after="400"/>
        <w:jc w:val="center"/>
        <w:rPr>
          <w:lang w:val="it-IT"/>
        </w:rPr>
      </w:pPr>
      <w:r w:rsidRPr="007F1B5B">
        <w:rPr>
          <w:lang w:val="it-IT"/>
        </w:rPr>
        <w:t>Nota complementare al modello di transizione</w:t>
      </w:r>
    </w:p>
    <w:p w14:paraId="75F71174" w14:textId="03024B31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  <w:lang w:val="it-IT"/>
        </w:rPr>
      </w:pPr>
      <w:r w:rsidRPr="007F1B5B">
        <w:rPr>
          <w:rFonts w:ascii="Palatino" w:hAnsi="Palatino"/>
          <w:lang w:val="it-IT"/>
        </w:rPr>
        <w:t xml:space="preserve">1 Perché due persone </w:t>
      </w:r>
    </w:p>
    <w:p w14:paraId="226586E1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Il modello di transizione ragiona per aggregati: miliardi di euro, quote di prodotto interno lordo, coorti di centinaia di migliaia di persone. È l'unità di misura giusta per valutare la sostenibilità di una riforma, ma nasconde il meccanismo che la genera. Questa nota fa l'operazione inversa: segue due sole persone, una per generazione, e mostra dove finisce ogni punto di contribuzione.</w:t>
      </w:r>
    </w:p>
    <w:p w14:paraId="2BF42342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Il risultato non aggiunge nulla ai numeri del modello aggregato — anzi, li riproduce, ed è questo che ne certifica la correttezza. Serve a rendere visibile una cosa sola, che in forma aggregata resta astratta: perché una riforma che migliora le pensioni e riduce la spesa pubblica richieda comunque, per decenni, di essere finanziata.</w:t>
      </w:r>
    </w:p>
    <w:p w14:paraId="4FF95352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</w:rPr>
      </w:pPr>
      <w:r w:rsidRPr="007F1B5B">
        <w:rPr>
          <w:rFonts w:ascii="Palatino" w:hAnsi="Palatino"/>
        </w:rPr>
        <w:t>2 Mario e Luigi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474"/>
        <w:gridCol w:w="1814"/>
        <w:gridCol w:w="1474"/>
        <w:gridCol w:w="2381"/>
      </w:tblGrid>
      <w:tr w:rsidR="00476718" w:rsidRPr="007F1B5B" w14:paraId="6BB92580" w14:textId="77777777">
        <w:trPr>
          <w:jc w:val="center"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AFE6168" w14:textId="77777777" w:rsidR="00476718" w:rsidRPr="007F1B5B" w:rsidRDefault="00476718" w:rsidP="007F1B5B">
            <w:pPr>
              <w:spacing w:before="60" w:after="60"/>
              <w:jc w:val="both"/>
            </w:pPr>
          </w:p>
        </w:tc>
        <w:tc>
          <w:tcPr>
            <w:tcW w:w="14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BEBACD7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Età nel 2027</w:t>
            </w:r>
          </w:p>
        </w:tc>
        <w:tc>
          <w:tcPr>
            <w:tcW w:w="181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B52C10C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Carriera</w:t>
            </w:r>
          </w:p>
        </w:tc>
        <w:tc>
          <w:tcPr>
            <w:tcW w:w="14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0C4B676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Pensione a</w:t>
            </w:r>
          </w:p>
        </w:tc>
        <w:tc>
          <w:tcPr>
            <w:tcW w:w="238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598A330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Entra nella riforma</w:t>
            </w:r>
          </w:p>
        </w:tc>
      </w:tr>
      <w:tr w:rsidR="00476718" w:rsidRPr="007F1B5B" w14:paraId="1A86F5DF" w14:textId="77777777">
        <w:trPr>
          <w:jc w:val="center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8E0A12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Mario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1C922B9C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50 anni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2E9FB12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2005–2045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3F5AEDF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68 anni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 w14:paraId="1E6818A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no</w:t>
            </w:r>
          </w:p>
        </w:tc>
      </w:tr>
      <w:tr w:rsidR="00476718" w:rsidRPr="007F1B5B" w14:paraId="016ACD66" w14:textId="77777777">
        <w:trPr>
          <w:jc w:val="center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9323C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Luigi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5CFA8B7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25 anni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8822C9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2030–2071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3AB5C9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69 anni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00C42C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sì</w:t>
            </w:r>
          </w:p>
        </w:tc>
      </w:tr>
    </w:tbl>
    <w:p w14:paraId="79567441" w14:textId="77777777" w:rsidR="00476718" w:rsidRPr="007F1B5B" w:rsidRDefault="00476718" w:rsidP="007F1B5B">
      <w:pPr>
        <w:spacing w:after="160"/>
        <w:jc w:val="both"/>
      </w:pPr>
    </w:p>
    <w:p w14:paraId="04B6D648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La differenza fra i due è una soglia di età: entra nella riforma chi nell'anno di avvio ha al massimo 45 anni. Mario ne ha 50 e resta interamente nella ripartizione; Luigi ne ha 25 e comincia subito a dirottare una parte della propria aliquota su un conto individuale. La soglia non è arbitraria: a chi è vicino alla pensione mancherebbe il tempo di costruire un capitale capace di compensare la minore pensione pubblica, e la riforma lo lascerebbe in perdita.</w:t>
      </w:r>
    </w:p>
    <w:p w14:paraId="75473FFA" w14:textId="77777777" w:rsidR="00476718" w:rsidRPr="007F1B5B" w:rsidRDefault="00000000" w:rsidP="007F1B5B">
      <w:pPr>
        <w:pBdr>
          <w:left w:val="single" w:sz="12" w:space="10" w:color="808080"/>
        </w:pBdr>
        <w:spacing w:before="160" w:after="200"/>
        <w:ind w:left="397" w:right="170"/>
        <w:jc w:val="both"/>
        <w:rPr>
          <w:lang w:val="it-IT"/>
        </w:rPr>
      </w:pPr>
      <w:r w:rsidRPr="007F1B5B">
        <w:rPr>
          <w:b/>
          <w:i/>
          <w:sz w:val="19"/>
          <w:lang w:val="it-IT"/>
        </w:rPr>
        <w:t xml:space="preserve">Perché proprio loro. </w:t>
      </w:r>
      <w:r w:rsidRPr="007F1B5B">
        <w:rPr>
          <w:sz w:val="19"/>
          <w:lang w:val="it-IT"/>
        </w:rPr>
        <w:t>Mario e Luigi non sono casi limite ma i due estremi utili: il primo rappresenta chi la riforma non tocca e continua a costare al bilancio quanto prima; il secondo chi la riforma tocca per intero, con 42 anni di carriera interamente sotto il nuovo regime. Tutte le generazioni intermedie stanno fra questi due.</w:t>
      </w:r>
    </w:p>
    <w:p w14:paraId="496E4006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  <w:lang w:val="it-IT"/>
        </w:rPr>
      </w:pPr>
      <w:r w:rsidRPr="007F1B5B">
        <w:rPr>
          <w:rFonts w:ascii="Palatino" w:hAnsi="Palatino"/>
          <w:lang w:val="it-IT"/>
        </w:rPr>
        <w:t>3 Dove vanno i contributi</w:t>
      </w:r>
    </w:p>
    <w:p w14:paraId="259AF6BB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Entrambi versano la stessa aliquota, il 33% della retribuzione lorda: la riforma non aumenta la pressione contributiva di nessuno dei due. Cambia solo la destinazione.</w:t>
      </w:r>
    </w:p>
    <w:p w14:paraId="44F82186" w14:textId="77777777" w:rsidR="00476718" w:rsidRPr="007F1B5B" w:rsidRDefault="00000000" w:rsidP="007F1B5B">
      <w:pPr>
        <w:spacing w:after="60"/>
        <w:jc w:val="both"/>
        <w:rPr>
          <w:lang w:val="it-IT"/>
        </w:rPr>
      </w:pPr>
      <w:r w:rsidRPr="007F1B5B">
        <w:rPr>
          <w:i/>
          <w:sz w:val="18"/>
          <w:lang w:val="it-IT"/>
        </w:rPr>
        <w:t>Le quattro fasi, ciascuna nell'anno in cui è pienamente entrata in vigore.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1644"/>
        <w:gridCol w:w="1134"/>
        <w:gridCol w:w="1644"/>
        <w:gridCol w:w="1361"/>
      </w:tblGrid>
      <w:tr w:rsidR="00476718" w:rsidRPr="007F1B5B" w14:paraId="2C47B0A4" w14:textId="77777777">
        <w:trPr>
          <w:jc w:val="center"/>
        </w:trPr>
        <w:tc>
          <w:tcPr>
            <w:tcW w:w="90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2AF75B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Anno</w:t>
            </w:r>
          </w:p>
        </w:tc>
        <w:tc>
          <w:tcPr>
            <w:tcW w:w="181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604A8E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Retribuzione di Luigi</w:t>
            </w:r>
          </w:p>
        </w:tc>
        <w:tc>
          <w:tcPr>
            <w:tcW w:w="164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6190405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Alla ripartizione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8BC3D3C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Ai fondi</w:t>
            </w:r>
          </w:p>
        </w:tc>
        <w:tc>
          <w:tcPr>
            <w:tcW w:w="164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8860595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Ai titoli dedicati</w:t>
            </w:r>
          </w:p>
        </w:tc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890F65A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Totale al conto (€)</w:t>
            </w:r>
          </w:p>
        </w:tc>
      </w:tr>
      <w:tr w:rsidR="00476718" w:rsidRPr="007F1B5B" w14:paraId="514CFFF2" w14:textId="77777777">
        <w:trPr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550442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2031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0353EF21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32.559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6097FB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27%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576125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4%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4DAB33B4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2%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BEB69F7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1.954</w:t>
            </w:r>
          </w:p>
        </w:tc>
      </w:tr>
      <w:tr w:rsidR="00476718" w:rsidRPr="007F1B5B" w14:paraId="30E7CD13" w14:textId="77777777">
        <w:trPr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203D13E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2041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77EE156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33.216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1997615C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25%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7EB3F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6%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1ACB687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2%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872A31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2.657</w:t>
            </w:r>
          </w:p>
        </w:tc>
      </w:tr>
      <w:tr w:rsidR="00476718" w:rsidRPr="007F1B5B" w14:paraId="03CA64B1" w14:textId="77777777">
        <w:trPr>
          <w:jc w:val="center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47B3275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2051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</w:tcPr>
          <w:p w14:paraId="3EF85153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33.887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5754C381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23%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DD0A5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8%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5FE2D40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2%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BED906D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3.389</w:t>
            </w:r>
          </w:p>
        </w:tc>
      </w:tr>
      <w:tr w:rsidR="00476718" w:rsidRPr="007F1B5B" w14:paraId="22040C0C" w14:textId="77777777">
        <w:trPr>
          <w:jc w:val="center"/>
        </w:trPr>
        <w:tc>
          <w:tcPr>
            <w:tcW w:w="90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6858B8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2061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46A0D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34.570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C956066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21%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9A0126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12%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CEEE21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0%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364830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4.148</w:t>
            </w:r>
          </w:p>
        </w:tc>
      </w:tr>
    </w:tbl>
    <w:p w14:paraId="104EF40A" w14:textId="77777777" w:rsidR="00476718" w:rsidRPr="007F1B5B" w:rsidRDefault="00476718" w:rsidP="007F1B5B">
      <w:pPr>
        <w:spacing w:after="160"/>
        <w:jc w:val="both"/>
      </w:pPr>
    </w:p>
    <w:p w14:paraId="3FF4E8A4" w14:textId="77777777" w:rsidR="00476718" w:rsidRPr="007F1B5B" w:rsidRDefault="00000000" w:rsidP="007F1B5B">
      <w:pPr>
        <w:pBdr>
          <w:left w:val="single" w:sz="12" w:space="10" w:color="808080"/>
        </w:pBdr>
        <w:spacing w:before="160" w:after="200"/>
        <w:ind w:left="397" w:right="170"/>
        <w:jc w:val="both"/>
        <w:rPr>
          <w:lang w:val="it-IT"/>
        </w:rPr>
      </w:pPr>
      <w:r w:rsidRPr="007F1B5B">
        <w:rPr>
          <w:b/>
          <w:i/>
          <w:sz w:val="19"/>
          <w:lang w:val="it-IT"/>
        </w:rPr>
        <w:t xml:space="preserve">Perché la tabella mostra questi anni. </w:t>
      </w:r>
      <w:r w:rsidRPr="007F1B5B">
        <w:rPr>
          <w:sz w:val="19"/>
          <w:lang w:val="it-IT"/>
        </w:rPr>
        <w:t>Ogni scatto si raggiunge linearmente in 5 anni, quindi negli anni intermedi le quote sono proporzioni di quelle indicate: nel 2027 Luigi dirotterebbe 1,2% anziché 6%. La gradualità serve a evitare che il costo per il bilancio pubblico salga a scalini, e vale anche per la quota destinata ai titoli, che segue la stessa proporzione.</w:t>
      </w:r>
    </w:p>
    <w:p w14:paraId="318DC095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  <w:lang w:val="it-IT"/>
        </w:rPr>
      </w:pPr>
      <w:r w:rsidRPr="007F1B5B">
        <w:rPr>
          <w:rFonts w:ascii="Palatino" w:hAnsi="Palatino"/>
          <w:lang w:val="it-IT"/>
        </w:rPr>
        <w:t>4 Che pensione prendono</w:t>
      </w:r>
    </w:p>
    <w:p w14:paraId="2621E846" w14:textId="77777777" w:rsidR="00476718" w:rsidRPr="007F1B5B" w:rsidRDefault="00000000" w:rsidP="007F1B5B">
      <w:pPr>
        <w:spacing w:after="60"/>
        <w:jc w:val="both"/>
        <w:rPr>
          <w:lang w:val="it-IT"/>
        </w:rPr>
      </w:pPr>
      <w:r w:rsidRPr="007F1B5B">
        <w:rPr>
          <w:i/>
          <w:sz w:val="18"/>
          <w:lang w:val="it-IT"/>
        </w:rPr>
        <w:t>Euro al mese, al momento del pensionamento.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474"/>
        <w:gridCol w:w="1644"/>
        <w:gridCol w:w="1531"/>
        <w:gridCol w:w="1304"/>
        <w:gridCol w:w="1191"/>
      </w:tblGrid>
      <w:tr w:rsidR="00476718" w:rsidRPr="007F1B5B" w14:paraId="686E0C2A" w14:textId="77777777">
        <w:trPr>
          <w:jc w:val="center"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DD89E97" w14:textId="77777777" w:rsidR="00476718" w:rsidRPr="007F1B5B" w:rsidRDefault="00476718" w:rsidP="007F1B5B">
            <w:pPr>
              <w:spacing w:before="60" w:after="60"/>
              <w:jc w:val="both"/>
              <w:rPr>
                <w:lang w:val="it-IT"/>
              </w:rPr>
            </w:pPr>
          </w:p>
        </w:tc>
        <w:tc>
          <w:tcPr>
            <w:tcW w:w="147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A490CE6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Senza riforma</w:t>
            </w:r>
          </w:p>
        </w:tc>
        <w:tc>
          <w:tcPr>
            <w:tcW w:w="164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F80D21B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Pensione pubblica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C094E11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Rendita del fondo</w:t>
            </w:r>
          </w:p>
        </w:tc>
        <w:tc>
          <w:tcPr>
            <w:tcW w:w="130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C04D079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Pilastro zero</w:t>
            </w:r>
          </w:p>
        </w:tc>
        <w:tc>
          <w:tcPr>
            <w:tcW w:w="119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FBE73D2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Totale</w:t>
            </w:r>
          </w:p>
        </w:tc>
      </w:tr>
      <w:tr w:rsidR="00476718" w:rsidRPr="007F1B5B" w14:paraId="763458E5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0D58F0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Mario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</w:tcPr>
          <w:p w14:paraId="7BDD15B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1.587</w:t>
            </w: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</w:tcPr>
          <w:p w14:paraId="6B964E2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1.587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418EE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0</w:t>
            </w:r>
          </w:p>
        </w:tc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 w14:paraId="6E131DAF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0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6E66BB8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1.587</w:t>
            </w:r>
          </w:p>
        </w:tc>
      </w:tr>
      <w:tr w:rsidR="00476718" w:rsidRPr="007F1B5B" w14:paraId="353BCD8F" w14:textId="77777777"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1432DF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Luigi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94768C6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1.782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38B3A1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985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F3F524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820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B43444E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EA0432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1.805</w:t>
            </w:r>
          </w:p>
        </w:tc>
      </w:tr>
    </w:tbl>
    <w:p w14:paraId="5249C3DC" w14:textId="77777777" w:rsidR="00476718" w:rsidRPr="007F1B5B" w:rsidRDefault="00476718" w:rsidP="007F1B5B">
      <w:pPr>
        <w:spacing w:after="160"/>
        <w:jc w:val="both"/>
      </w:pPr>
    </w:p>
    <w:p w14:paraId="72EBB1C0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Mario prende esattamente quello che avrebbe preso senza riforma: 1.587 euro al mese. È il primo risultato da tenere presente, perché smentisce l'obiezione più comune — la riforma non tocca chi è già vicino alla pensione.</w:t>
      </w:r>
    </w:p>
    <w:p w14:paraId="570F02FE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Luigi prende 1.805 euro contro i 1.782 che avrebbe preso restando nella ripartizione. La composizione però è tutt'altra: 985 euro di pensione pubblica e 820 di rendita dal proprio capitale, che copre il 45% del totale. Il suo montante figurativo scende da 553.904 a 401.224 euro, ma in cambio accumula 202.643 euro di capitale vero.</w:t>
      </w:r>
    </w:p>
    <w:p w14:paraId="75F2A7DB" w14:textId="77777777" w:rsidR="00476718" w:rsidRPr="007F1B5B" w:rsidRDefault="00000000" w:rsidP="007F1B5B">
      <w:pPr>
        <w:pBdr>
          <w:left w:val="single" w:sz="12" w:space="10" w:color="808080"/>
        </w:pBdr>
        <w:spacing w:before="160" w:after="200"/>
        <w:ind w:left="397" w:right="170"/>
        <w:jc w:val="both"/>
        <w:rPr>
          <w:lang w:val="it-IT"/>
        </w:rPr>
      </w:pPr>
      <w:r w:rsidRPr="007F1B5B">
        <w:rPr>
          <w:b/>
          <w:i/>
          <w:sz w:val="19"/>
          <w:lang w:val="it-IT"/>
        </w:rPr>
        <w:t xml:space="preserve">Perché conviene dirottare. </w:t>
      </w:r>
      <w:r w:rsidRPr="007F1B5B">
        <w:rPr>
          <w:sz w:val="19"/>
          <w:lang w:val="it-IT"/>
        </w:rPr>
        <w:t>Un euro versato da Luigi nel 2030 vale, al suo pensionamento, 1,39 euro se accreditato alla ripartizione e 2,75 euro se investito. La ripartizione rivaluta i versamenti alla crescita dell'economia, 0,8% l'anno; i mercati al rendimento reale ipotizzato, 2,5%. Tutta la riforma nasce da questo scarto — e con essa il rischio, perché il secondo rendimento non è garantito mentre il primo è fissato per legge.</w:t>
      </w:r>
    </w:p>
    <w:p w14:paraId="791E77BD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  <w:lang w:val="it-IT"/>
        </w:rPr>
      </w:pPr>
      <w:r w:rsidRPr="007F1B5B">
        <w:rPr>
          <w:rFonts w:ascii="Palatino" w:hAnsi="Palatino"/>
          <w:lang w:val="it-IT"/>
        </w:rPr>
        <w:t>5 Il conto dello Stato</w:t>
      </w:r>
    </w:p>
    <w:p w14:paraId="20E47F2E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Qui si vede il punto che l'aggregato rende astratto. In un sistema a ripartizione i contributi di Luigi pagano la pensione di Mario. Se una parte di quei contributi va su un conto individuale, la pensione di Mario deve essere pagata lo stesso: è già maturata e non si tocca. Lo Stato deve quindi trovare altrove i punti mancanti, e lo fa a debito.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701"/>
        <w:gridCol w:w="2551"/>
      </w:tblGrid>
      <w:tr w:rsidR="00476718" w:rsidRPr="007F1B5B" w14:paraId="42477701" w14:textId="77777777">
        <w:trPr>
          <w:jc w:val="center"/>
        </w:trPr>
        <w:tc>
          <w:tcPr>
            <w:tcW w:w="453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8EFC260" w14:textId="77777777" w:rsidR="00476718" w:rsidRPr="007F1B5B" w:rsidRDefault="00000000" w:rsidP="007F1B5B">
            <w:pPr>
              <w:spacing w:before="60" w:after="60"/>
              <w:jc w:val="both"/>
              <w:rPr>
                <w:lang w:val="it-IT"/>
              </w:rPr>
            </w:pPr>
            <w:r w:rsidRPr="007F1B5B">
              <w:rPr>
                <w:i/>
                <w:sz w:val="18"/>
                <w:lang w:val="it-IT"/>
              </w:rPr>
              <w:t>Voce, sull'intera vita della coppia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100E5B2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Euro</w:t>
            </w:r>
          </w:p>
        </w:tc>
        <w:tc>
          <w:tcPr>
            <w:tcW w:w="255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A78AB11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Quando</w:t>
            </w:r>
          </w:p>
        </w:tc>
      </w:tr>
      <w:tr w:rsidR="00476718" w:rsidRPr="007F1B5B" w14:paraId="2E3F310A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AAD344F" w14:textId="77777777" w:rsidR="00476718" w:rsidRPr="007F1B5B" w:rsidRDefault="00000000" w:rsidP="007F1B5B">
            <w:pPr>
              <w:spacing w:before="30" w:after="30"/>
              <w:jc w:val="both"/>
              <w:rPr>
                <w:lang w:val="it-IT"/>
              </w:rPr>
            </w:pPr>
            <w:r w:rsidRPr="007F1B5B">
              <w:rPr>
                <w:sz w:val="18"/>
                <w:lang w:val="it-IT"/>
              </w:rPr>
              <w:t>Contributi che Luigi non versa più alla ripartizione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1BC9775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−132.421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B0B5EC2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2027–2071</w:t>
            </w:r>
          </w:p>
        </w:tc>
      </w:tr>
      <w:tr w:rsidR="00476718" w:rsidRPr="007F1B5B" w14:paraId="6DB61751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49490A26" w14:textId="77777777" w:rsidR="00476718" w:rsidRPr="007F1B5B" w:rsidRDefault="00000000" w:rsidP="007F1B5B">
            <w:pPr>
              <w:spacing w:before="30" w:after="30"/>
              <w:jc w:val="both"/>
              <w:rPr>
                <w:lang w:val="it-IT"/>
              </w:rPr>
            </w:pPr>
            <w:r w:rsidRPr="007F1B5B">
              <w:rPr>
                <w:sz w:val="18"/>
                <w:lang w:val="it-IT"/>
              </w:rPr>
              <w:t>Imposta incassata subito su quei contributi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2173284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35.754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1EF9BC36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2027–2071</w:t>
            </w:r>
          </w:p>
        </w:tc>
      </w:tr>
      <w:tr w:rsidR="00476718" w:rsidRPr="007F1B5B" w14:paraId="2673A129" w14:textId="77777777">
        <w:trPr>
          <w:jc w:val="center"/>
        </w:trPr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14:paraId="7DA96500" w14:textId="77777777" w:rsidR="00476718" w:rsidRPr="007F1B5B" w:rsidRDefault="00000000" w:rsidP="007F1B5B">
            <w:pPr>
              <w:spacing w:before="30" w:after="30"/>
              <w:jc w:val="both"/>
              <w:rPr>
                <w:lang w:val="it-IT"/>
              </w:rPr>
            </w:pPr>
            <w:r w:rsidRPr="007F1B5B">
              <w:rPr>
                <w:sz w:val="18"/>
                <w:lang w:val="it-IT"/>
              </w:rPr>
              <w:t>Minore pensione pubblica pagata a Luigi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694A476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207.211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</w:tcPr>
          <w:p w14:paraId="6F763F9F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dal 2071</w:t>
            </w:r>
          </w:p>
        </w:tc>
      </w:tr>
      <w:tr w:rsidR="00476718" w:rsidRPr="007F1B5B" w14:paraId="0CF53F0D" w14:textId="77777777">
        <w:trPr>
          <w:jc w:val="center"/>
        </w:trPr>
        <w:tc>
          <w:tcPr>
            <w:tcW w:w="4535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3CFA7909" w14:textId="77777777" w:rsidR="00476718" w:rsidRPr="007F1B5B" w:rsidRDefault="00000000" w:rsidP="007F1B5B">
            <w:pPr>
              <w:spacing w:before="30" w:after="30"/>
              <w:jc w:val="both"/>
              <w:rPr>
                <w:lang w:val="it-IT"/>
              </w:rPr>
            </w:pPr>
            <w:r w:rsidRPr="007F1B5B">
              <w:rPr>
                <w:b/>
                <w:sz w:val="18"/>
                <w:lang w:val="it-IT"/>
              </w:rPr>
              <w:t>Saldo, senza contare gli interessi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7002319F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b/>
                <w:sz w:val="18"/>
              </w:rPr>
              <w:t>110.543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1F369B6C" w14:textId="77777777" w:rsidR="00476718" w:rsidRPr="007F1B5B" w:rsidRDefault="00476718" w:rsidP="007F1B5B">
            <w:pPr>
              <w:spacing w:before="30" w:after="30"/>
              <w:jc w:val="both"/>
            </w:pPr>
          </w:p>
        </w:tc>
      </w:tr>
    </w:tbl>
    <w:p w14:paraId="37808DC5" w14:textId="77777777" w:rsidR="00476718" w:rsidRPr="007F1B5B" w:rsidRDefault="00476718" w:rsidP="007F1B5B">
      <w:pPr>
        <w:spacing w:after="160"/>
        <w:jc w:val="both"/>
      </w:pPr>
    </w:p>
    <w:p w14:paraId="59CB934F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Il profilo temporale è la cosa importante. Per i primi 44 anni lo Stato perde gettito senza risparmiare nulla, perché Luigi lavora e la sua pensione è lontana: il debito cresce fino a 122.100 euro nel 2070. Solo quando Luigi va in pensione, nel 2071, lo Stato comincia a rientrare, perché gli paga una pensione pubblica più bassa di quella che gli avrebbe dovuto. Il rientro è lento e prosegue finché Luigi è in vita.</w:t>
      </w:r>
    </w:p>
    <w:p w14:paraId="71DF283F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lastRenderedPageBreak/>
        <w:t>Moltiplicando questa singola coppia per milioni di persone, e sovrapponendo tutte le generazioni intermedie, si ottiene esattamente il profilo del modello aggregato: un costo che si accumula per mezzo secolo e poi rientra. La differenza è che qui se ne vede la causa invece del solo effetto.</w:t>
      </w:r>
    </w:p>
    <w:p w14:paraId="1917DDF8" w14:textId="77777777" w:rsidR="00476718" w:rsidRPr="007F1B5B" w:rsidRDefault="00000000" w:rsidP="007F1B5B">
      <w:pPr>
        <w:pBdr>
          <w:left w:val="single" w:sz="12" w:space="10" w:color="808080"/>
        </w:pBdr>
        <w:spacing w:before="160" w:after="200"/>
        <w:ind w:left="397" w:right="170"/>
        <w:jc w:val="both"/>
        <w:rPr>
          <w:lang w:val="it-IT"/>
        </w:rPr>
      </w:pPr>
      <w:r w:rsidRPr="007F1B5B">
        <w:rPr>
          <w:b/>
          <w:i/>
          <w:sz w:val="19"/>
          <w:lang w:val="it-IT"/>
        </w:rPr>
        <w:t xml:space="preserve">Che cosa si sta comprando. </w:t>
      </w:r>
      <w:r w:rsidRPr="007F1B5B">
        <w:rPr>
          <w:sz w:val="19"/>
          <w:lang w:val="it-IT"/>
        </w:rPr>
        <w:t>Il costo di transizione non è uno spreco né un errore di disegno: è il prezzo di avere una generazione che riceve la pensione dalla ripartizione mentre la successiva ha già smesso di finanziarla per intero. Chiunque passi dalla ripartizione alla capitalizzazione lo paga, ed è pagato una volta sola: le generazioni successive a Luigi non lo sostengono più.</w:t>
      </w:r>
    </w:p>
    <w:p w14:paraId="43AB27EB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  <w:lang w:val="it-IT"/>
        </w:rPr>
      </w:pPr>
      <w:r w:rsidRPr="007F1B5B">
        <w:rPr>
          <w:rFonts w:ascii="Palatino" w:hAnsi="Palatino"/>
          <w:lang w:val="it-IT"/>
        </w:rPr>
        <w:t>6 Verifica</w:t>
      </w:r>
    </w:p>
    <w:p w14:paraId="18273E63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Questo modello e quello aggregato calcolano la stessa cosa per due vie indipendenti: qui si sommano i versamenti di una persona, là si distribuisce un flusso aggregato fra le coorti. Nessuna identità contabile impone che coincidano, quindi il confronto è un controllo reale.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3175"/>
        <w:gridCol w:w="1984"/>
      </w:tblGrid>
      <w:tr w:rsidR="00476718" w:rsidRPr="007F1B5B" w14:paraId="138E967D" w14:textId="77777777">
        <w:trPr>
          <w:jc w:val="center"/>
        </w:trPr>
        <w:tc>
          <w:tcPr>
            <w:tcW w:w="362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491118A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Confronto</w:t>
            </w:r>
          </w:p>
        </w:tc>
        <w:tc>
          <w:tcPr>
            <w:tcW w:w="317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C5AB01A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Individuale contro aggregato</w:t>
            </w:r>
          </w:p>
        </w:tc>
        <w:tc>
          <w:tcPr>
            <w:tcW w:w="198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E22AE88" w14:textId="77777777" w:rsidR="00476718" w:rsidRPr="007F1B5B" w:rsidRDefault="00000000" w:rsidP="007F1B5B">
            <w:pPr>
              <w:spacing w:before="60" w:after="60"/>
              <w:jc w:val="both"/>
            </w:pPr>
            <w:r w:rsidRPr="007F1B5B">
              <w:rPr>
                <w:i/>
                <w:sz w:val="18"/>
              </w:rPr>
              <w:t>Esito</w:t>
            </w:r>
          </w:p>
        </w:tc>
      </w:tr>
      <w:tr w:rsidR="00476718" w:rsidRPr="007F1B5B" w14:paraId="74D13A85" w14:textId="77777777">
        <w:trPr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602FEF4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  <w:lang w:val="it-IT"/>
              </w:rPr>
              <w:t xml:space="preserve">pensione a 25 anni nel 2027 (pens. </w:t>
            </w:r>
            <w:r w:rsidRPr="007F1B5B">
              <w:rPr>
                <w:sz w:val="18"/>
              </w:rPr>
              <w:t>2071)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29FB8E0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1,805 vs 1,802 €/mese (+0.2%)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2835E9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coerente</w:t>
            </w:r>
          </w:p>
        </w:tc>
      </w:tr>
      <w:tr w:rsidR="00476718" w:rsidRPr="007F1B5B" w14:paraId="24B4B075" w14:textId="77777777">
        <w:trPr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19BEF4D5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  <w:lang w:val="it-IT"/>
              </w:rPr>
              <w:t xml:space="preserve">pensione a 30 anni nel 2027 (pens. </w:t>
            </w:r>
            <w:r w:rsidRPr="007F1B5B">
              <w:rPr>
                <w:sz w:val="18"/>
              </w:rPr>
              <w:t>2066)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4DC3543D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1,770 vs 1,764 €/mese (+0.3%)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9837F3A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coerente</w:t>
            </w:r>
          </w:p>
        </w:tc>
      </w:tr>
      <w:tr w:rsidR="00476718" w:rsidRPr="007F1B5B" w14:paraId="34CBA378" w14:textId="77777777">
        <w:trPr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42E250E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  <w:lang w:val="it-IT"/>
              </w:rPr>
              <w:t xml:space="preserve">pensione a 35 anni nel 2027 (pens. </w:t>
            </w:r>
            <w:r w:rsidRPr="007F1B5B">
              <w:rPr>
                <w:sz w:val="18"/>
              </w:rPr>
              <w:t>2061)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7F472E1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1,747 vs 1,747 €/mese (-0.0%)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68C0500B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coerente</w:t>
            </w:r>
          </w:p>
        </w:tc>
      </w:tr>
      <w:tr w:rsidR="00476718" w:rsidRPr="007F1B5B" w14:paraId="5FC05803" w14:textId="77777777">
        <w:trPr>
          <w:jc w:val="center"/>
        </w:trPr>
        <w:tc>
          <w:tcPr>
            <w:tcW w:w="3628" w:type="dxa"/>
            <w:tcBorders>
              <w:top w:val="nil"/>
              <w:left w:val="nil"/>
              <w:bottom w:val="nil"/>
              <w:right w:val="nil"/>
            </w:tcBorders>
          </w:tcPr>
          <w:p w14:paraId="034AF489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  <w:lang w:val="it-IT"/>
              </w:rPr>
              <w:t xml:space="preserve">pensione a 40 anni nel 2027 (pens. </w:t>
            </w:r>
            <w:r w:rsidRPr="007F1B5B">
              <w:rPr>
                <w:sz w:val="18"/>
              </w:rPr>
              <w:t>2056)</w:t>
            </w:r>
          </w:p>
        </w:tc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6D93D940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1,729 vs 1,729 €/mese (+0.0%)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C024FE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coerente</w:t>
            </w:r>
          </w:p>
        </w:tc>
      </w:tr>
      <w:tr w:rsidR="00476718" w:rsidRPr="007F1B5B" w14:paraId="2A2A47D4" w14:textId="77777777">
        <w:trPr>
          <w:jc w:val="center"/>
        </w:trPr>
        <w:tc>
          <w:tcPr>
            <w:tcW w:w="362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0FD580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  <w:lang w:val="it-IT"/>
              </w:rPr>
              <w:t xml:space="preserve">pensione a 45 anni nel 2027 (pens. </w:t>
            </w:r>
            <w:r w:rsidRPr="007F1B5B">
              <w:rPr>
                <w:sz w:val="18"/>
              </w:rPr>
              <w:t>2051)</w:t>
            </w:r>
          </w:p>
        </w:tc>
        <w:tc>
          <w:tcPr>
            <w:tcW w:w="317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2272F28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1,712 vs 1,712 €/mese (+0.0%)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448DBEF" w14:textId="77777777" w:rsidR="00476718" w:rsidRPr="007F1B5B" w:rsidRDefault="00000000" w:rsidP="007F1B5B">
            <w:pPr>
              <w:spacing w:before="30" w:after="30"/>
              <w:jc w:val="both"/>
            </w:pPr>
            <w:r w:rsidRPr="007F1B5B">
              <w:rPr>
                <w:sz w:val="18"/>
              </w:rPr>
              <w:t>coerente</w:t>
            </w:r>
          </w:p>
        </w:tc>
      </w:tr>
    </w:tbl>
    <w:p w14:paraId="331247FD" w14:textId="77777777" w:rsidR="00476718" w:rsidRPr="007F1B5B" w:rsidRDefault="00476718" w:rsidP="007F1B5B">
      <w:pPr>
        <w:spacing w:after="160"/>
        <w:jc w:val="both"/>
      </w:pPr>
    </w:p>
    <w:p w14:paraId="5F6082AF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Lo scarto resta entro qualche decimo di punto, e deriva dal fatto che il modello aggregato attribuisce alle coorti un flusso comune mentre qui ogni versamento è seguito singolarmente. Il controllo ha già prodotto una correzione: il fattore di calibrazione delle pensioni pubbliche era stato applicato per errore anche alla rendita del fondo, e il confronto fra i due livelli lo ha reso evidente.</w:t>
      </w:r>
    </w:p>
    <w:p w14:paraId="1482623F" w14:textId="77777777" w:rsidR="00476718" w:rsidRPr="007F1B5B" w:rsidRDefault="00000000" w:rsidP="007F1B5B">
      <w:pPr>
        <w:pStyle w:val="Titolo1"/>
        <w:spacing w:before="360" w:after="120"/>
        <w:jc w:val="both"/>
        <w:rPr>
          <w:rFonts w:ascii="Palatino" w:hAnsi="Palatino"/>
        </w:rPr>
      </w:pPr>
      <w:r w:rsidRPr="007F1B5B">
        <w:rPr>
          <w:rFonts w:ascii="Palatino" w:hAnsi="Palatino"/>
        </w:rPr>
        <w:t>7 Che cosa mostra questo modello</w:t>
      </w:r>
    </w:p>
    <w:p w14:paraId="68FFC93A" w14:textId="77777777" w:rsidR="00476718" w:rsidRPr="007F1B5B" w:rsidRDefault="00000000" w:rsidP="007F1B5B">
      <w:pPr>
        <w:pStyle w:val="Puntoelenco"/>
        <w:spacing w:after="60"/>
        <w:jc w:val="both"/>
        <w:rPr>
          <w:lang w:val="it-IT"/>
        </w:rPr>
      </w:pPr>
      <w:r w:rsidRPr="007F1B5B">
        <w:rPr>
          <w:i/>
          <w:lang w:val="it-IT"/>
        </w:rPr>
        <w:t xml:space="preserve">Nessun costo per chi esce. </w:t>
      </w:r>
      <w:r w:rsidRPr="007F1B5B">
        <w:rPr>
          <w:lang w:val="it-IT"/>
        </w:rPr>
        <w:t>chi è vicino alla pensione non è toccato. Mario prende quello che avrebbe preso comunque, e la riforma non chiede nulla alla sua generazione.</w:t>
      </w:r>
    </w:p>
    <w:p w14:paraId="37D794B5" w14:textId="77777777" w:rsidR="00476718" w:rsidRPr="007F1B5B" w:rsidRDefault="00000000" w:rsidP="007F1B5B">
      <w:pPr>
        <w:pStyle w:val="Puntoelenco"/>
        <w:spacing w:after="60"/>
        <w:jc w:val="both"/>
        <w:rPr>
          <w:lang w:val="it-IT"/>
        </w:rPr>
      </w:pPr>
      <w:r w:rsidRPr="007F1B5B">
        <w:rPr>
          <w:i/>
          <w:lang w:val="it-IT"/>
        </w:rPr>
        <w:t xml:space="preserve">Nessun aumento del prelievo. </w:t>
      </w:r>
      <w:r w:rsidRPr="007F1B5B">
        <w:rPr>
          <w:lang w:val="it-IT"/>
        </w:rPr>
        <w:t>Luigi versa la stessa aliquota di Mario, ma una parte va su un conto suo. Non è un prelievo aggiuntivo: è una destinazione diversa dello stesso denaro.</w:t>
      </w:r>
    </w:p>
    <w:p w14:paraId="6470A70A" w14:textId="77777777" w:rsidR="00476718" w:rsidRPr="007F1B5B" w:rsidRDefault="00000000" w:rsidP="007F1B5B">
      <w:pPr>
        <w:pStyle w:val="Puntoelenco"/>
        <w:spacing w:after="60"/>
        <w:jc w:val="both"/>
        <w:rPr>
          <w:lang w:val="it-IT"/>
        </w:rPr>
      </w:pPr>
      <w:r w:rsidRPr="007F1B5B">
        <w:rPr>
          <w:i/>
          <w:lang w:val="it-IT"/>
        </w:rPr>
        <w:t xml:space="preserve">Adeguatezza preservata. </w:t>
      </w:r>
      <w:r w:rsidRPr="007F1B5B">
        <w:rPr>
          <w:lang w:val="it-IT"/>
        </w:rPr>
        <w:t>la pensione di Luigi non scende, e la sua composizione cambia: meno prestazione pubblica, più rendita da capitale proprio.</w:t>
      </w:r>
    </w:p>
    <w:p w14:paraId="50C508D1" w14:textId="77777777" w:rsidR="00476718" w:rsidRPr="007F1B5B" w:rsidRDefault="00000000" w:rsidP="007F1B5B">
      <w:pPr>
        <w:pStyle w:val="Puntoelenco"/>
        <w:spacing w:after="60"/>
        <w:jc w:val="both"/>
        <w:rPr>
          <w:lang w:val="it-IT"/>
        </w:rPr>
      </w:pPr>
      <w:r w:rsidRPr="007F1B5B">
        <w:rPr>
          <w:i/>
          <w:lang w:val="it-IT"/>
        </w:rPr>
        <w:t xml:space="preserve">Il costo lo porta lo Stato. </w:t>
      </w:r>
      <w:r w:rsidRPr="007F1B5B">
        <w:rPr>
          <w:lang w:val="it-IT"/>
        </w:rPr>
        <w:t>nessuno dei due paga il costo di transizione. Lo paga il bilancio pubblico, cioè la collettività dei contribuenti, e lo paga anticipando risorse che rientrano quando Luigi va in pensione.</w:t>
      </w:r>
    </w:p>
    <w:p w14:paraId="31F02021" w14:textId="77777777" w:rsidR="00476718" w:rsidRPr="007F1B5B" w:rsidRDefault="00000000" w:rsidP="007F1B5B">
      <w:pPr>
        <w:jc w:val="both"/>
        <w:rPr>
          <w:lang w:val="it-IT"/>
        </w:rPr>
      </w:pPr>
      <w:r w:rsidRPr="007F1B5B">
        <w:rPr>
          <w:lang w:val="it-IT"/>
        </w:rPr>
        <w:t>L'ultimo punto è quello politicamente decisivo, e il modello a due agenti lo rende inequivocabile: la riforma non redistribuisce fra Mario e Luigi, ma nel tempo. Chi decide oggi sostiene un costo il cui beneficio si manifesta quando chi ha deciso non è più in carica. È la ragione per cui riforme di questo tipo sono tecnicamente semplici e politicamente difficili.</w:t>
      </w:r>
    </w:p>
    <w:sectPr w:rsidR="00476718" w:rsidRPr="007F1B5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593245">
    <w:abstractNumId w:val="8"/>
  </w:num>
  <w:num w:numId="2" w16cid:durableId="1936935892">
    <w:abstractNumId w:val="6"/>
  </w:num>
  <w:num w:numId="3" w16cid:durableId="1913390414">
    <w:abstractNumId w:val="5"/>
  </w:num>
  <w:num w:numId="4" w16cid:durableId="2057272314">
    <w:abstractNumId w:val="4"/>
  </w:num>
  <w:num w:numId="5" w16cid:durableId="1689601871">
    <w:abstractNumId w:val="7"/>
  </w:num>
  <w:num w:numId="6" w16cid:durableId="1788963281">
    <w:abstractNumId w:val="3"/>
  </w:num>
  <w:num w:numId="7" w16cid:durableId="1729495747">
    <w:abstractNumId w:val="2"/>
  </w:num>
  <w:num w:numId="8" w16cid:durableId="1488981508">
    <w:abstractNumId w:val="1"/>
  </w:num>
  <w:num w:numId="9" w16cid:durableId="4107369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718"/>
    <w:rsid w:val="007F1B5B"/>
    <w:rsid w:val="009A64A0"/>
    <w:rsid w:val="00A322BE"/>
    <w:rsid w:val="00AA1D8D"/>
    <w:rsid w:val="00AE011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731DAB"/>
  <w14:defaultImageDpi w14:val="300"/>
  <w15:docId w15:val="{8EA2425C-614B-E045-9B0E-18DAD9B4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Palatino" w:eastAsia="Palatino" w:hAnsi="Palatino" w:cs="Palatino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7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1172</Words>
  <Characters>6686</Characters>
  <Application>Microsoft Office Word</Application>
  <DocSecurity>0</DocSecurity>
  <Lines>55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Decorte</cp:lastModifiedBy>
  <cp:revision>3</cp:revision>
  <dcterms:created xsi:type="dcterms:W3CDTF">2013-12-23T23:15:00Z</dcterms:created>
  <dcterms:modified xsi:type="dcterms:W3CDTF">2026-08-13T14:02:00Z</dcterms:modified>
  <cp:category/>
</cp:coreProperties>
</file>