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270"/>
        <w:gridCol w:w="3270"/>
        <w:gridCol w:w="3270"/>
      </w:tblGrid>
      <w:tr>
        <w:tc>
          <w:tcPr>
            <w:tcW w:type="dxa" w:w="4649"/>
            <w:tcMar>
              <w:top w:w="0" w:type="dxa"/>
              <w:bottom w:w="0" w:type="dxa"/>
              <w:left w:w="0" w:type="dxa"/>
              <w:right w:w="40" w:type="dxa"/>
            </w:tcMar>
          </w:tcPr>
          <w:p/>
          <w:p>
            <w:pPr>
              <w:spacing w:before="0" w:after="20" w:line="240" w:lineRule="auto"/>
              <w:jc w:val="center"/>
            </w:pPr>
            <w:r>
              <w:rPr>
                <w:rFonts w:ascii="Times New Roman" w:hAnsi="Times New Roman"/>
                <w:b/>
                <w:i w:val="0"/>
                <w:sz w:val="20"/>
                <w:u w:val="none"/>
              </w:rPr>
              <w:t>&lt;CTY&gt;</w:t>
            </w:r>
          </w:p>
          <w:p>
            <w:pPr>
              <w:spacing w:before="0" w:after="20" w:line="240" w:lineRule="auto"/>
              <w:jc w:val="center"/>
            </w:pPr>
            <w:r>
              <w:rPr>
                <w:rFonts w:ascii="Times New Roman" w:hAnsi="Times New Roman"/>
                <w:b w:val="0"/>
                <w:i w:val="0"/>
                <w:sz w:val="17"/>
                <w:u w:val="none"/>
              </w:rPr>
              <w:t>Địa chỉ: &lt;DC_CTY&gt;</w:t>
            </w:r>
          </w:p>
          <w:p>
            <w:pPr>
              <w:spacing w:before="0" w:after="20" w:line="240" w:lineRule="auto"/>
              <w:jc w:val="center"/>
            </w:pPr>
            <w:r>
              <w:rPr>
                <w:rFonts w:ascii="Times New Roman" w:hAnsi="Times New Roman"/>
                <w:b w:val="0"/>
                <w:i w:val="0"/>
                <w:sz w:val="17"/>
                <w:u w:val="none"/>
              </w:rPr>
              <w:t>MST: &lt;MST&gt;</w:t>
            </w:r>
          </w:p>
          <w:p>
            <w:pPr>
              <w:spacing w:before="20" w:after="0" w:line="240" w:lineRule="auto"/>
              <w:jc w:val="center"/>
            </w:pPr>
            <w:r>
              <w:rPr>
                <w:rFonts w:ascii="Times New Roman" w:hAnsi="Times New Roman"/>
                <w:b/>
                <w:i w:val="0"/>
                <w:sz w:val="19"/>
                <w:u w:val="none"/>
              </w:rPr>
              <w:t>Số: &lt;SO_QD_NKL&gt;</w:t>
            </w:r>
          </w:p>
        </w:tc>
        <w:tc>
          <w:tcPr>
            <w:tcW w:type="dxa" w:w="340"/>
            <w:tcMar>
              <w:top w:w="0" w:type="dxa"/>
              <w:bottom w:w="0" w:type="dxa"/>
              <w:left w:w="0" w:type="dxa"/>
              <w:right w:w="0" w:type="dxa"/>
            </w:tcMar>
          </w:tcPr>
          <w:p/>
        </w:tc>
        <w:tc>
          <w:tcPr>
            <w:tcW w:type="dxa" w:w="4819"/>
            <w:tcMar>
              <w:top w:w="0" w:type="dxa"/>
              <w:bottom w:w="0" w:type="dxa"/>
              <w:left w:w="40" w:type="dxa"/>
              <w:right w:w="0" w:type="dxa"/>
            </w:tcMar>
          </w:tcPr>
          <w:p/>
          <w:p>
            <w:pPr>
              <w:spacing w:before="0" w:after="20" w:line="240" w:lineRule="auto"/>
              <w:jc w:val="center"/>
            </w:pPr>
            <w:r>
              <w:rPr>
                <w:rFonts w:ascii="Times New Roman" w:hAnsi="Times New Roman"/>
                <w:b/>
                <w:i w:val="0"/>
                <w:sz w:val="20"/>
                <w:u w:val="none"/>
              </w:rPr>
              <w:t>CỘNG HÒA XÃ HỘI CHỦ NGHĨA VIỆT NAM</w:t>
            </w:r>
          </w:p>
          <w:p>
            <w:pPr>
              <w:spacing w:before="0" w:after="20" w:line="240" w:lineRule="auto"/>
              <w:jc w:val="center"/>
            </w:pPr>
            <w:r>
              <w:rPr>
                <w:rFonts w:ascii="Times New Roman" w:hAnsi="Times New Roman"/>
                <w:b/>
                <w:i w:val="0"/>
                <w:sz w:val="19"/>
                <w:u w:val="single"/>
              </w:rPr>
              <w:t>Độc lập – Tự do – Hạnh phúc</w:t>
            </w:r>
          </w:p>
          <w:p>
            <w:pPr>
              <w:spacing w:before="0" w:after="20" w:line="240" w:lineRule="auto"/>
              <w:jc w:val="center"/>
            </w:pPr>
            <w:r>
              <w:rPr>
                <w:rFonts w:ascii="Times New Roman" w:hAnsi="Times New Roman"/>
                <w:b w:val="0"/>
                <w:i w:val="0"/>
                <w:sz w:val="18"/>
                <w:u w:val="none"/>
              </w:rPr>
              <w:t>––––––––––––––––––</w:t>
            </w:r>
          </w:p>
          <w:p>
            <w:pPr>
              <w:spacing w:before="0" w:after="0" w:line="240" w:lineRule="auto"/>
              <w:jc w:val="center"/>
            </w:pPr>
            <w:r>
              <w:rPr>
                <w:rFonts w:ascii="Times New Roman" w:hAnsi="Times New Roman"/>
                <w:b w:val="0"/>
                <w:i/>
                <w:sz w:val="19"/>
                <w:u w:val="none"/>
              </w:rPr>
              <w:t>&lt;DIA_DIEM&gt;, &lt;NGAY_THANG_NAM&gt;</w:t>
            </w:r>
          </w:p>
        </w:tc>
      </w:tr>
    </w:tbl>
    <w:p>
      <w:pPr>
        <w:spacing w:before="120" w:after="40" w:line="240" w:lineRule="auto"/>
        <w:jc w:val="center"/>
      </w:pPr>
      <w:r>
        <w:rPr>
          <w:rFonts w:ascii="Times New Roman" w:hAnsi="Times New Roman"/>
          <w:b/>
          <w:i w:val="0"/>
          <w:sz w:val="30"/>
          <w:u w:val="none"/>
        </w:rPr>
        <w:t>QUYẾT ĐỊNH</w:t>
      </w:r>
    </w:p>
    <w:p>
      <w:pPr>
        <w:spacing w:before="0" w:after="100" w:line="240" w:lineRule="auto"/>
        <w:jc w:val="center"/>
      </w:pPr>
      <w:r>
        <w:rPr>
          <w:rFonts w:ascii="Times New Roman" w:hAnsi="Times New Roman"/>
          <w:b/>
          <w:i w:val="0"/>
          <w:sz w:val="22"/>
          <w:u w:val="none"/>
        </w:rPr>
        <w:t>V/v: Cho phép người lao động nghỉ việc không hưởng lương</w:t>
      </w:r>
    </w:p>
    <w:p>
      <w:pPr>
        <w:spacing w:before="0" w:after="40" w:line="240" w:lineRule="auto"/>
        <w:jc w:val="both"/>
      </w:pPr>
      <w:r>
        <w:rPr>
          <w:rFonts w:ascii="Times New Roman" w:hAnsi="Times New Roman"/>
          <w:b w:val="0"/>
          <w:i/>
          <w:sz w:val="19"/>
          <w:u w:val="none"/>
        </w:rPr>
        <w:t>Căn cứ Bộ luật Lao động số 45/2019/QH14 ngày 20/11/2019 của Quốc hội nước Cộng hòa xã hội chủ nghĩa Việt Nam (Điều 115);</w:t>
      </w:r>
    </w:p>
    <w:p>
      <w:pPr>
        <w:spacing w:before="0" w:after="40" w:line="240" w:lineRule="auto"/>
        <w:jc w:val="both"/>
      </w:pPr>
      <w:r>
        <w:rPr>
          <w:rFonts w:ascii="Times New Roman" w:hAnsi="Times New Roman"/>
          <w:b w:val="0"/>
          <w:i/>
          <w:sz w:val="19"/>
          <w:u w:val="none"/>
        </w:rPr>
        <w:t>Căn cứ Luật Bảo hiểm xã hội số 41/2024/QH15 có hiệu lực thi hành từ ngày 01/07/2025;</w:t>
      </w:r>
    </w:p>
    <w:p>
      <w:pPr>
        <w:spacing w:before="0" w:after="40" w:line="240" w:lineRule="auto"/>
        <w:jc w:val="both"/>
      </w:pPr>
      <w:r>
        <w:rPr>
          <w:rFonts w:ascii="Times New Roman" w:hAnsi="Times New Roman"/>
          <w:b w:val="0"/>
          <w:i/>
          <w:sz w:val="19"/>
          <w:u w:val="none"/>
        </w:rPr>
        <w:t>Căn cứ Hợp đồng lao động số &lt;SO_HDLD&gt; ký ngày &lt;NGAY_KY_HD&gt; giữa Công ty và người lao động;</w:t>
      </w:r>
    </w:p>
    <w:p>
      <w:pPr>
        <w:spacing w:before="0" w:after="40" w:line="240" w:lineRule="auto"/>
        <w:jc w:val="both"/>
      </w:pPr>
      <w:r>
        <w:rPr>
          <w:rFonts w:ascii="Times New Roman" w:hAnsi="Times New Roman"/>
          <w:b w:val="0"/>
          <w:i/>
          <w:sz w:val="19"/>
          <w:u w:val="none"/>
        </w:rPr>
        <w:t>Căn cứ Quy chế quản lý điều hành nhân sự số &lt;SO_QCQLNS&gt; của Công ty;</w:t>
      </w:r>
    </w:p>
    <w:p>
      <w:pPr>
        <w:spacing w:before="0" w:after="40" w:line="240" w:lineRule="auto"/>
        <w:jc w:val="both"/>
      </w:pPr>
      <w:r>
        <w:rPr>
          <w:rFonts w:ascii="Times New Roman" w:hAnsi="Times New Roman"/>
          <w:b w:val="0"/>
          <w:i/>
          <w:sz w:val="19"/>
          <w:u w:val="none"/>
        </w:rPr>
        <w:t>Xét Đơn xin nghỉ phép không hưởng lương của ông/bà &lt;HO_TEN&gt; ngày &lt;NGAY_DON&gt; và đề nghị của Chỉ huy trưởng công trường &lt;CONG_TRINH&gt;,</w:t>
      </w:r>
    </w:p>
    <w:p>
      <w:pPr>
        <w:spacing w:before="60" w:after="60" w:line="240" w:lineRule="auto"/>
        <w:jc w:val="both"/>
      </w:pPr>
      <w:r>
        <w:rPr>
          <w:rFonts w:ascii="Times New Roman" w:hAnsi="Times New Roman"/>
          <w:b/>
          <w:i w:val="0"/>
          <w:sz w:val="23"/>
          <w:u w:val="none"/>
        </w:rPr>
        <w:t>QUYẾT ĐỊNH:</w:t>
      </w:r>
    </w:p>
    <w:p>
      <w:pPr>
        <w:spacing w:before="0" w:after="40" w:line="240" w:lineRule="auto"/>
        <w:jc w:val="left"/>
      </w:pPr>
      <w:r>
        <w:rPr>
          <w:rFonts w:ascii="Times New Roman" w:hAnsi="Times New Roman"/>
          <w:b/>
          <w:i w:val="0"/>
          <w:sz w:val="21"/>
          <w:u w:val="none"/>
        </w:rPr>
        <w:t>Điều 1. Chấp thuận cho người lao động được nghỉ việc không hưởng lương theo nguyện vọng cá nhân:</w:t>
      </w:r>
    </w:p>
    <w:p>
      <w:pPr>
        <w:spacing w:before="0" w:after="30" w:line="240" w:lineRule="auto"/>
        <w:jc w:val="left"/>
      </w:pPr>
      <w:r>
        <w:rPr>
          <w:rFonts w:ascii="Times New Roman" w:hAnsi="Times New Roman"/>
          <w:b/>
          <w:i w:val="0"/>
          <w:sz w:val="20"/>
          <w:u w:val="none"/>
        </w:rPr>
        <w:t xml:space="preserve">Họ và tên: </w:t>
      </w:r>
      <w:r>
        <w:rPr>
          <w:rFonts w:ascii="Times New Roman" w:hAnsi="Times New Roman"/>
          <w:b/>
          <w:i w:val="0"/>
          <w:sz w:val="20"/>
          <w:u w:val="none"/>
        </w:rPr>
        <w:t>&lt;HO_TEN&gt;</w:t>
      </w:r>
      <w:r>
        <w:rPr>
          <w:rFonts w:ascii="Times New Roman" w:hAnsi="Times New Roman"/>
          <w:b/>
          <w:i w:val="0"/>
          <w:sz w:val="20"/>
          <w:u w:val="none"/>
        </w:rPr>
        <w:t xml:space="preserve">        Giới tính: </w:t>
      </w:r>
      <w:r>
        <w:rPr>
          <w:rFonts w:ascii="Times New Roman" w:hAnsi="Times New Roman"/>
          <w:b w:val="0"/>
          <w:i w:val="0"/>
          <w:sz w:val="20"/>
          <w:u w:val="none"/>
        </w:rPr>
        <w:t>&lt;GIOI_TINH&gt;</w:t>
      </w:r>
    </w:p>
    <w:p>
      <w:pPr>
        <w:spacing w:before="0" w:after="30" w:line="240" w:lineRule="auto"/>
        <w:jc w:val="left"/>
      </w:pPr>
      <w:r>
        <w:rPr>
          <w:rFonts w:ascii="Times New Roman" w:hAnsi="Times New Roman"/>
          <w:b/>
          <w:i w:val="0"/>
          <w:sz w:val="20"/>
          <w:u w:val="none"/>
        </w:rPr>
        <w:t xml:space="preserve">Ngày sinh: </w:t>
      </w:r>
      <w:r>
        <w:rPr>
          <w:rFonts w:ascii="Times New Roman" w:hAnsi="Times New Roman"/>
          <w:b w:val="0"/>
          <w:i w:val="0"/>
          <w:sz w:val="20"/>
          <w:u w:val="none"/>
        </w:rPr>
        <w:t>&lt;NGAY_SINH&gt;</w:t>
      </w:r>
    </w:p>
    <w:p>
      <w:pPr>
        <w:spacing w:before="0" w:after="30" w:line="240" w:lineRule="auto"/>
        <w:jc w:val="left"/>
      </w:pPr>
      <w:r>
        <w:rPr>
          <w:rFonts w:ascii="Times New Roman" w:hAnsi="Times New Roman"/>
          <w:b/>
          <w:i w:val="0"/>
          <w:sz w:val="20"/>
          <w:u w:val="none"/>
        </w:rPr>
        <w:t xml:space="preserve">CCCD số: </w:t>
      </w:r>
      <w:r>
        <w:rPr>
          <w:rFonts w:ascii="Times New Roman" w:hAnsi="Times New Roman"/>
          <w:b w:val="0"/>
          <w:i w:val="0"/>
          <w:sz w:val="20"/>
          <w:u w:val="none"/>
        </w:rPr>
        <w:t>&lt;CCCD&gt;</w:t>
      </w:r>
    </w:p>
    <w:p>
      <w:pPr>
        <w:spacing w:before="0" w:after="30" w:line="240" w:lineRule="auto"/>
        <w:jc w:val="left"/>
      </w:pPr>
      <w:r>
        <w:rPr>
          <w:rFonts w:ascii="Times New Roman" w:hAnsi="Times New Roman"/>
          <w:b/>
          <w:i w:val="0"/>
          <w:sz w:val="20"/>
          <w:u w:val="none"/>
        </w:rPr>
        <w:t xml:space="preserve">Chức vụ hiện tại: </w:t>
      </w:r>
      <w:r>
        <w:rPr>
          <w:rFonts w:ascii="Times New Roman" w:hAnsi="Times New Roman"/>
          <w:b w:val="0"/>
          <w:i w:val="0"/>
          <w:sz w:val="20"/>
          <w:u w:val="none"/>
        </w:rPr>
        <w:t>&lt;CHUC_VU&gt;</w:t>
      </w:r>
    </w:p>
    <w:p>
      <w:pPr>
        <w:spacing w:before="0" w:after="30" w:line="240" w:lineRule="auto"/>
        <w:jc w:val="left"/>
      </w:pPr>
      <w:r>
        <w:rPr>
          <w:rFonts w:ascii="Times New Roman" w:hAnsi="Times New Roman"/>
          <w:b/>
          <w:i w:val="0"/>
          <w:sz w:val="20"/>
          <w:u w:val="none"/>
        </w:rPr>
        <w:t xml:space="preserve">Bộ phận / Công trình: </w:t>
      </w:r>
      <w:r>
        <w:rPr>
          <w:rFonts w:ascii="Times New Roman" w:hAnsi="Times New Roman"/>
          <w:b w:val="0"/>
          <w:i w:val="0"/>
          <w:sz w:val="20"/>
          <w:u w:val="none"/>
        </w:rPr>
        <w:t>&lt;BO_PHAN&gt; – &lt;CONG_TRINH&gt;</w:t>
      </w:r>
    </w:p>
    <w:p>
      <w:pPr>
        <w:spacing w:before="0" w:after="30" w:line="240" w:lineRule="auto"/>
        <w:jc w:val="left"/>
      </w:pPr>
      <w:r>
        <w:rPr>
          <w:rFonts w:ascii="Times New Roman" w:hAnsi="Times New Roman"/>
          <w:b/>
          <w:i w:val="0"/>
          <w:sz w:val="20"/>
          <w:u w:val="none"/>
        </w:rPr>
        <w:t xml:space="preserve">Lý do nghỉ: </w:t>
      </w:r>
      <w:r>
        <w:rPr>
          <w:rFonts w:ascii="Times New Roman" w:hAnsi="Times New Roman"/>
          <w:b w:val="0"/>
          <w:i w:val="0"/>
          <w:sz w:val="20"/>
          <w:u w:val="none"/>
        </w:rPr>
        <w:t>&lt;LY_DO_NGHI&gt; (Tự nguyện xin nghỉ không hưởng lương).</w:t>
      </w:r>
    </w:p>
    <w:p>
      <w:pPr>
        <w:spacing w:before="0" w:after="30" w:line="240" w:lineRule="auto"/>
        <w:jc w:val="left"/>
      </w:pPr>
      <w:r>
        <w:rPr>
          <w:rFonts w:ascii="Times New Roman" w:hAnsi="Times New Roman"/>
          <w:b/>
          <w:i w:val="0"/>
          <w:sz w:val="20"/>
          <w:u w:val="none"/>
        </w:rPr>
        <w:t xml:space="preserve">Thời gian nghỉ: </w:t>
      </w:r>
      <w:r>
        <w:rPr>
          <w:rFonts w:ascii="Times New Roman" w:hAnsi="Times New Roman"/>
          <w:b/>
          <w:i w:val="0"/>
          <w:sz w:val="20"/>
          <w:u w:val="none"/>
        </w:rPr>
        <w:t>Từ ngày &lt;TU_NGAY&gt; đến ngày &lt;DEN_NGAY&gt; (tổng cộng &lt;SO_NGAY&gt; ngày làm việc).</w:t>
      </w:r>
    </w:p>
    <w:p>
      <w:pPr>
        <w:spacing w:before="0" w:after="30" w:line="240" w:lineRule="auto"/>
        <w:jc w:val="left"/>
      </w:pPr>
      <w:r>
        <w:rPr>
          <w:rFonts w:ascii="Times New Roman" w:hAnsi="Times New Roman"/>
          <w:b/>
          <w:i w:val="0"/>
          <w:sz w:val="20"/>
          <w:u w:val="none"/>
        </w:rPr>
        <w:t xml:space="preserve">Ngày trở lại làm việc: </w:t>
      </w:r>
      <w:r>
        <w:rPr>
          <w:rFonts w:ascii="Times New Roman" w:hAnsi="Times New Roman"/>
          <w:b w:val="0"/>
          <w:i w:val="0"/>
          <w:sz w:val="20"/>
          <w:u w:val="none"/>
        </w:rPr>
        <w:t>Ngày &lt;NGAY_DI_LAM_LAI&gt;.</w:t>
      </w:r>
    </w:p>
    <w:p>
      <w:pPr>
        <w:spacing w:before="60" w:after="40" w:line="240" w:lineRule="auto"/>
        <w:jc w:val="left"/>
      </w:pPr>
      <w:r>
        <w:rPr>
          <w:rFonts w:ascii="Times New Roman" w:hAnsi="Times New Roman"/>
          <w:b/>
          <w:i w:val="0"/>
          <w:sz w:val="21"/>
          <w:u w:val="none"/>
        </w:rPr>
        <w:t>Điều 2. Chế độ và trách nhiệm trong thời gian nghỉ không hưởng lương:</w:t>
      </w:r>
    </w:p>
    <w:p>
      <w:pPr>
        <w:spacing w:before="0" w:after="30" w:line="240" w:lineRule="auto"/>
        <w:jc w:val="both"/>
      </w:pPr>
      <w:r>
        <w:rPr>
          <w:rFonts w:ascii="Times New Roman" w:hAnsi="Times New Roman"/>
          <w:b w:val="0"/>
          <w:i w:val="0"/>
          <w:sz w:val="20"/>
          <w:u w:val="none"/>
        </w:rPr>
        <w:t xml:space="preserve">- </w:t>
      </w:r>
      <w:r>
        <w:rPr>
          <w:rFonts w:ascii="Times New Roman" w:hAnsi="Times New Roman"/>
          <w:b w:val="0"/>
          <w:i w:val="0"/>
          <w:sz w:val="20"/>
          <w:u w:val="none"/>
        </w:rPr>
        <w:t>Trong thời gian nghỉ, người lao động không được hưởng tiền lương và các khoản phụ cấp lương, phụ cấp lưu động công trường. Hợp đồng lao động được tạm hoãn thực hiện trong thời gian nghỉ.</w:t>
      </w:r>
    </w:p>
    <w:p>
      <w:pPr>
        <w:spacing w:before="0" w:after="30" w:line="240" w:lineRule="auto"/>
        <w:jc w:val="both"/>
      </w:pPr>
      <w:r>
        <w:rPr>
          <w:rFonts w:ascii="Times New Roman" w:hAnsi="Times New Roman"/>
          <w:b w:val="0"/>
          <w:i w:val="0"/>
          <w:sz w:val="20"/>
          <w:u w:val="none"/>
        </w:rPr>
        <w:t xml:space="preserve">- </w:t>
      </w:r>
      <w:r>
        <w:rPr>
          <w:rFonts w:ascii="Times New Roman" w:hAnsi="Times New Roman"/>
          <w:b w:val="0"/>
          <w:i w:val="0"/>
          <w:sz w:val="20"/>
          <w:u w:val="none"/>
        </w:rPr>
        <w:t>Về chế độ BHXH, BHYT, BHTN: Người lao động nghỉ việc không hưởng tiền lương từ 14 ngày làm việc trở lên trong tháng thì Công ty và người lao động không đóng BHXH, BHYT, BHTN của tháng đó theo quy định tại Luật Bảo hiểm xã hội số 41/2024/QH15.</w:t>
      </w:r>
    </w:p>
    <w:p>
      <w:pPr>
        <w:spacing w:before="0" w:after="30" w:line="240" w:lineRule="auto"/>
        <w:jc w:val="both"/>
      </w:pPr>
      <w:r>
        <w:rPr>
          <w:rFonts w:ascii="Times New Roman" w:hAnsi="Times New Roman"/>
          <w:b w:val="0"/>
          <w:i w:val="0"/>
          <w:sz w:val="20"/>
          <w:u w:val="none"/>
        </w:rPr>
        <w:t xml:space="preserve">- </w:t>
      </w:r>
      <w:r>
        <w:rPr>
          <w:rFonts w:ascii="Times New Roman" w:hAnsi="Times New Roman"/>
          <w:b w:val="0"/>
          <w:i w:val="0"/>
          <w:sz w:val="20"/>
          <w:u w:val="none"/>
        </w:rPr>
        <w:t>Thời gian nghỉ việc không hưởng lương không được tính là thời gian làm việc để tính số ngày nghỉ hằng năm (phép năm), trừ trường hợp hai bên có thỏa thuận khác.</w:t>
      </w:r>
    </w:p>
    <w:p>
      <w:pPr>
        <w:spacing w:before="0" w:after="30" w:line="240" w:lineRule="auto"/>
        <w:jc w:val="both"/>
      </w:pPr>
      <w:r>
        <w:rPr>
          <w:rFonts w:ascii="Times New Roman" w:hAnsi="Times New Roman"/>
          <w:b w:val="0"/>
          <w:i w:val="0"/>
          <w:sz w:val="20"/>
          <w:u w:val="none"/>
        </w:rPr>
        <w:t xml:space="preserve">- </w:t>
      </w:r>
      <w:r>
        <w:rPr>
          <w:rFonts w:ascii="Times New Roman" w:hAnsi="Times New Roman"/>
          <w:b w:val="0"/>
          <w:i w:val="0"/>
          <w:sz w:val="20"/>
          <w:u w:val="none"/>
        </w:rPr>
        <w:t>Trách nhiệm bàn giao: Trước khi nghỉ việc, người lao động có trách nhiệm bàn giao toàn bộ công việc thi công dở dang, bảo quản và bàn giao vật tư lắp dựng, thiết bị máy móc, công cụ dụng cụ và đồ bảo hộ lao động được cấp phát cho Chỉ huy trưởng công trường / Tổ trưởng thi công quản lý. Người lao động có trách nhiệm có mặt làm việc đúng hạn tại công trường theo quy định tại Điều 1.</w:t>
      </w:r>
    </w:p>
    <w:p>
      <w:pPr>
        <w:spacing w:before="60" w:after="20" w:line="240" w:lineRule="auto"/>
        <w:jc w:val="left"/>
      </w:pPr>
      <w:r>
        <w:rPr>
          <w:rFonts w:ascii="Times New Roman" w:hAnsi="Times New Roman"/>
          <w:b/>
          <w:i w:val="0"/>
          <w:sz w:val="21"/>
          <w:u w:val="none"/>
        </w:rPr>
        <w:t>Điều 3. Hiệu lực thi hành:</w:t>
      </w:r>
    </w:p>
    <w:p>
      <w:pPr>
        <w:spacing w:before="0" w:after="60" w:line="240" w:lineRule="auto"/>
        <w:jc w:val="both"/>
      </w:pPr>
      <w:r>
        <w:rPr>
          <w:rFonts w:ascii="Times New Roman" w:hAnsi="Times New Roman"/>
          <w:b w:val="0"/>
          <w:i w:val="0"/>
          <w:sz w:val="20"/>
          <w:u w:val="none"/>
        </w:rPr>
        <w:t>Quyết định có hiệu lực kể từ ngày ký. Ông/bà &lt;HO_TEN&gt;, Phòng Nhân sự, Phòng Kế toán - Tài chính, Chỉ huy trưởng công trường &lt;CONG_TRINH&gt; chịu trách nhiệm thi hành Quyết định này.</w:t>
      </w:r>
    </w:p>
    <w:p>
      <w:pPr>
        <w:spacing w:before="40" w:after="20" w:line="240" w:lineRule="auto"/>
        <w:jc w:val="left"/>
      </w:pPr>
      <w:r>
        <w:rPr>
          <w:rFonts w:ascii="Times New Roman" w:hAnsi="Times New Roman"/>
          <w:b/>
          <w:i w:val="0"/>
          <w:sz w:val="18"/>
          <w:u w:val="none"/>
        </w:rPr>
        <w:t>Nơi nhận:</w:t>
      </w:r>
    </w:p>
    <w:p>
      <w:pPr>
        <w:spacing w:before="0" w:after="10" w:line="240" w:lineRule="auto"/>
        <w:jc w:val="left"/>
      </w:pPr>
      <w:r>
        <w:rPr>
          <w:rFonts w:ascii="Times New Roman" w:hAnsi="Times New Roman"/>
          <w:b w:val="0"/>
          <w:i/>
          <w:sz w:val="17"/>
          <w:u w:val="none"/>
        </w:rPr>
        <w:t>- Như Điều 3 (để thực hiện);</w:t>
      </w:r>
    </w:p>
    <w:p>
      <w:pPr>
        <w:spacing w:before="0" w:after="10" w:line="240" w:lineRule="auto"/>
        <w:jc w:val="left"/>
      </w:pPr>
      <w:r>
        <w:rPr>
          <w:rFonts w:ascii="Times New Roman" w:hAnsi="Times New Roman"/>
          <w:b w:val="0"/>
          <w:i/>
          <w:sz w:val="17"/>
          <w:u w:val="none"/>
        </w:rPr>
        <w:t>- Ban Giám đốc (để biết);</w:t>
      </w:r>
    </w:p>
    <w:p>
      <w:pPr>
        <w:spacing w:before="0" w:after="10" w:line="240" w:lineRule="auto"/>
        <w:jc w:val="left"/>
      </w:pPr>
      <w:r>
        <w:rPr>
          <w:rFonts w:ascii="Times New Roman" w:hAnsi="Times New Roman"/>
          <w:b w:val="0"/>
          <w:i/>
          <w:sz w:val="17"/>
          <w:u w:val="none"/>
        </w:rPr>
        <w:t>- Phòng Kế toán - Tài chính (để theo dõi chế độ);</w:t>
      </w:r>
    </w:p>
    <w:p>
      <w:pPr>
        <w:spacing w:before="0" w:after="10" w:line="240" w:lineRule="auto"/>
        <w:jc w:val="left"/>
      </w:pPr>
      <w:r>
        <w:rPr>
          <w:rFonts w:ascii="Times New Roman" w:hAnsi="Times New Roman"/>
          <w:b w:val="0"/>
          <w:i/>
          <w:sz w:val="17"/>
          <w:u w:val="none"/>
        </w:rPr>
        <w:t>- Ban Chỉ huy công trường &lt;CONG_TRINH&gt;;</w:t>
      </w:r>
    </w:p>
    <w:p>
      <w:pPr>
        <w:spacing w:before="0" w:after="60" w:line="240" w:lineRule="auto"/>
        <w:jc w:val="left"/>
      </w:pPr>
      <w:r>
        <w:rPr>
          <w:rFonts w:ascii="Times New Roman" w:hAnsi="Times New Roman"/>
          <w:b w:val="0"/>
          <w:i/>
          <w:sz w:val="17"/>
          <w:u w:val="none"/>
        </w:rPr>
        <w:t>- Lưu: VT, 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04"/>
        <w:gridCol w:w="4904"/>
      </w:tblGrid>
      <w:tr>
        <w:tc>
          <w:tcPr>
            <w:tcW w:type="dxa" w:w="4876"/>
            <w:tcMar>
              <w:top w:w="0" w:type="dxa"/>
              <w:bottom w:w="0" w:type="dxa"/>
              <w:left w:w="0" w:type="dxa"/>
              <w:right w:w="0" w:type="dxa"/>
            </w:tcMar>
          </w:tcPr>
          <w:p/>
          <w:p>
            <w:pPr>
              <w:spacing w:before="0" w:after="20" w:line="240" w:lineRule="auto"/>
              <w:jc w:val="center"/>
            </w:pPr>
            <w:r>
              <w:rPr>
                <w:rFonts w:ascii="Times New Roman" w:hAnsi="Times New Roman"/>
                <w:b/>
                <w:i w:val="0"/>
                <w:sz w:val="20"/>
                <w:u w:val="none"/>
              </w:rPr>
              <w:t>NGƯỜI LAO ĐỘNG XÁC NHẬN</w:t>
            </w:r>
          </w:p>
        </w:tc>
        <w:tc>
          <w:tcPr>
            <w:tcW w:type="dxa" w:w="4876"/>
            <w:tcMar>
              <w:top w:w="0" w:type="dxa"/>
              <w:bottom w:w="0" w:type="dxa"/>
              <w:left w:w="0" w:type="dxa"/>
              <w:right w:w="0" w:type="dxa"/>
            </w:tcMar>
          </w:tcPr>
          <w:p/>
          <w:p>
            <w:pPr>
              <w:spacing w:before="0" w:after="20" w:line="240" w:lineRule="auto"/>
              <w:jc w:val="center"/>
            </w:pPr>
            <w:r>
              <w:rPr>
                <w:rFonts w:ascii="Times New Roman" w:hAnsi="Times New Roman"/>
                <w:b/>
                <w:i w:val="0"/>
                <w:sz w:val="20"/>
                <w:u w:val="none"/>
              </w:rPr>
              <w:t>ĐẠI DIỆN CÔNG TY\nGIÁM ĐỐC</w:t>
            </w:r>
          </w:p>
        </w:tc>
      </w:tr>
      <w:tr>
        <w:tc>
          <w:tcPr>
            <w:tcW w:type="dxa" w:w="4876"/>
            <w:tcMar>
              <w:top w:w="0" w:type="dxa"/>
              <w:bottom w:w="0" w:type="dxa"/>
              <w:left w:w="0" w:type="dxa"/>
              <w:right w:w="0" w:type="dxa"/>
            </w:tcMar>
          </w:tcPr>
          <w:p/>
          <w:p>
            <w:pPr>
              <w:spacing w:before="0" w:after="0" w:line="240" w:lineRule="auto"/>
              <w:jc w:val="center"/>
            </w:pPr>
            <w:r>
              <w:rPr>
                <w:rFonts w:ascii="Times New Roman" w:hAnsi="Times New Roman"/>
                <w:b w:val="0"/>
                <w:i/>
                <w:sz w:val="18"/>
                <w:u w:val="none"/>
              </w:rPr>
              <w:t>(Đồng ý và ký tên)</w:t>
            </w:r>
          </w:p>
        </w:tc>
        <w:tc>
          <w:tcPr>
            <w:tcW w:type="dxa" w:w="4876"/>
            <w:tcMar>
              <w:top w:w="0" w:type="dxa"/>
              <w:bottom w:w="0" w:type="dxa"/>
              <w:left w:w="0" w:type="dxa"/>
              <w:right w:w="0" w:type="dxa"/>
            </w:tcMar>
          </w:tcPr>
          <w:p/>
          <w:p>
            <w:pPr>
              <w:spacing w:before="0" w:after="0" w:line="240" w:lineRule="auto"/>
              <w:jc w:val="center"/>
            </w:pPr>
            <w:r>
              <w:rPr>
                <w:rFonts w:ascii="Times New Roman" w:hAnsi="Times New Roman"/>
                <w:b w:val="0"/>
                <w:i/>
                <w:sz w:val="18"/>
                <w:u w:val="none"/>
              </w:rPr>
              <w:t>(Ký tên, đóng dấu)</w:t>
            </w:r>
          </w:p>
        </w:tc>
      </w:tr>
      <w:tr>
        <w:trPr>
          <w:trHeight w:val="737" w:hRule="atLeast"/>
        </w:trPr>
        <w:tc>
          <w:tcPr>
            <w:tcW w:type="dxa" w:w="4876"/>
            <w:tcMar>
              <w:top w:w="0" w:type="dxa"/>
              <w:bottom w:w="0" w:type="dxa"/>
              <w:left w:w="0" w:type="dxa"/>
              <w:right w:w="0" w:type="dxa"/>
            </w:tcMar>
          </w:tcPr>
          <w:p/>
          <w:p>
            <w:pPr>
              <w:spacing w:before="0" w:after="40" w:line="240" w:lineRule="auto"/>
              <w:jc w:val="left"/>
            </w:pPr>
          </w:p>
        </w:tc>
        <w:tc>
          <w:tcPr>
            <w:tcW w:type="dxa" w:w="4876"/>
            <w:tcMar>
              <w:top w:w="0" w:type="dxa"/>
              <w:bottom w:w="0" w:type="dxa"/>
              <w:left w:w="0" w:type="dxa"/>
              <w:right w:w="0" w:type="dxa"/>
            </w:tcMar>
          </w:tcPr>
          <w:p/>
          <w:p>
            <w:pPr>
              <w:spacing w:before="0" w:after="40" w:line="240" w:lineRule="auto"/>
              <w:jc w:val="left"/>
            </w:pPr>
          </w:p>
        </w:tc>
      </w:tr>
      <w:tr>
        <w:tc>
          <w:tcPr>
            <w:tcW w:type="dxa" w:w="4876"/>
            <w:tcMar>
              <w:top w:w="0" w:type="dxa"/>
              <w:bottom w:w="0" w:type="dxa"/>
              <w:left w:w="0" w:type="dxa"/>
              <w:right w:w="0" w:type="dxa"/>
            </w:tcMar>
          </w:tcPr>
          <w:p/>
          <w:p>
            <w:pPr>
              <w:spacing w:before="0" w:after="0" w:line="240" w:lineRule="auto"/>
              <w:jc w:val="center"/>
            </w:pPr>
            <w:r>
              <w:rPr>
                <w:rFonts w:ascii="Times New Roman" w:hAnsi="Times New Roman"/>
                <w:b/>
                <w:i w:val="0"/>
                <w:sz w:val="20"/>
                <w:u w:val="none"/>
              </w:rPr>
              <w:t>&lt;HO_TEN&gt;</w:t>
            </w:r>
          </w:p>
        </w:tc>
        <w:tc>
          <w:tcPr>
            <w:tcW w:type="dxa" w:w="4876"/>
            <w:tcMar>
              <w:top w:w="0" w:type="dxa"/>
              <w:bottom w:w="0" w:type="dxa"/>
              <w:left w:w="0" w:type="dxa"/>
              <w:right w:w="0" w:type="dxa"/>
            </w:tcMar>
          </w:tcPr>
          <w:p/>
          <w:p>
            <w:pPr>
              <w:spacing w:before="0" w:after="0" w:line="240" w:lineRule="auto"/>
              <w:jc w:val="center"/>
            </w:pPr>
            <w:r>
              <w:rPr>
                <w:rFonts w:ascii="Times New Roman" w:hAnsi="Times New Roman"/>
                <w:b/>
                <w:i w:val="0"/>
                <w:sz w:val="20"/>
                <w:u w:val="none"/>
              </w:rPr>
              <w:t>&lt;GIAM_DOC&gt;</w:t>
            </w:r>
          </w:p>
        </w:tc>
      </w:tr>
    </w:tbl>
    <w:p>
      <w:pPr>
        <w:spacing w:before="80" w:after="0" w:line="240" w:lineRule="auto"/>
        <w:jc w:val="left"/>
      </w:pPr>
      <w:r>
        <w:rPr>
          <w:rFonts w:ascii="Times New Roman" w:hAnsi="Times New Roman"/>
          <w:b w:val="0"/>
          <w:i/>
          <w:sz w:val="15"/>
          <w:u w:val="none"/>
        </w:rPr>
        <w:t>* Căn cứ pháp lý: Điều 115 Bộ luật Lao động số 45/2019/QH14 | Luật Bảo hiểm xã hội số 41/2024/QH15 | Nghị định 145/2020/NĐ-CP.</w:t>
      </w:r>
    </w:p>
    <w:sectPr w:rsidR="00FC693F" w:rsidRPr="0006063C" w:rsidSect="00034616">
      <w:pgSz w:w="11906" w:h="16838"/>
      <w:pgMar w:top="850" w:right="850"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