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Brake Caliper Savings Strategy</w:t>
      </w:r>
    </w:p>
    <w:p>
      <w:pPr>
        <w:pStyle w:val="ListBullet"/>
      </w:pPr>
      <w:r>
        <w:rPr>
          <w:b/>
        </w:rPr>
        <w:t>Core Thesis</w:t>
      </w:r>
      <w:r>
        <w:t>: Drive a 15%+ caliper cost reduction by sequencing high-ROI contract levers with synchronized engineering, supply chain, and commercial actions while hardwiring flexibility for geopolitical and market volatility.</w:t>
      </w:r>
    </w:p>
    <w:p>
      <w:pPr>
        <w:pStyle w:val="ListBullet"/>
      </w:pPr>
      <w:r>
        <w:rPr>
          <w:b/>
        </w:rPr>
        <w:t>Value Model</w:t>
      </w:r>
      <w:r>
        <w:t>: Blend should-cost baseline, lane-by-lane logistics model, and sensitivity analysis on iron, aluminum, energy, labor, and FX to prioritize levers delivering fastest payback and resilience.</w:t>
      </w:r>
    </w:p>
    <w:p>
      <w:pPr>
        <w:pStyle w:val="Heading2"/>
      </w:pPr>
      <w:r>
        <w:t>Actionable Approach</w:t>
      </w:r>
    </w:p>
    <w:p>
      <w:pPr>
        <w:pStyle w:val="ListBullet"/>
      </w:pPr>
      <w:r>
        <w:rPr>
          <w:b/>
        </w:rPr>
        <w:t>Joint Productivity Roadmap (Highest ROI)</w:t>
      </w:r>
      <w:r>
        <w:t>: Codify VA/VE milestones, automation upgrades, packaging changes, and lean deployments into the contract; ensure savings commitments trigger price changes automatically and share upside once Ford’s price floor is met.</w:t>
      </w:r>
    </w:p>
    <w:p>
      <w:pPr>
        <w:pStyle w:val="ListBullet"/>
      </w:pPr>
      <w:r>
        <w:rPr>
          <w:b/>
        </w:rPr>
        <w:t>Capital Co-investment Clauses</w:t>
      </w:r>
      <w:r>
        <w:t>: Pre-negotiate Ford support for casting automation, in-line inspection, and high-density tooling; tie reimbursements to OEE, scrap, and throughput targets, enabling step-change cost-down with controlled risk.</w:t>
      </w:r>
    </w:p>
    <w:p>
      <w:pPr>
        <w:pStyle w:val="ListBullet"/>
      </w:pPr>
      <w:r>
        <w:rPr>
          <w:b/>
        </w:rPr>
        <w:t>Open-Book Cost Baselines</w:t>
      </w:r>
      <w:r>
        <w:t>: Establish transparent cost stack with quarterly reconciliations using third-party verified indices; enables rapid price resets and supports collaboration on new levers.</w:t>
      </w:r>
    </w:p>
    <w:p>
      <w:pPr>
        <w:pStyle w:val="ListBullet"/>
      </w:pPr>
      <w:r>
        <w:rPr>
          <w:b/>
        </w:rPr>
        <w:t>Raw-Material Escalators/De-escalators</w:t>
      </w:r>
      <w:r>
        <w:t>: Link prices to published indices with guardrails; stabilizes margins under commodity swings and speeds pass-through when markets ease.</w:t>
      </w:r>
    </w:p>
    <w:p>
      <w:pPr>
        <w:pStyle w:val="ListBullet"/>
      </w:pPr>
      <w:r>
        <w:rPr>
          <w:b/>
        </w:rPr>
        <w:t>Performance Rebates &amp; Penalties</w:t>
      </w:r>
      <w:r>
        <w:t>: Align 1–2% of contract value with OTIF, PPM, and premium freight to reinforce execution discipline and self-fund continuous improvement.</w:t>
      </w:r>
    </w:p>
    <w:p>
      <w:pPr>
        <w:pStyle w:val="ListBullet"/>
      </w:pPr>
      <w:r>
        <w:rPr>
          <w:b/>
        </w:rPr>
        <w:t>Volume &amp; Mix Protection</w:t>
      </w:r>
      <w:r>
        <w:t>: Structure tiered pricing and make-load compensation for engineering-driven complexity; preserves ROI on capital and discourages volatility-induced penalties.</w:t>
      </w:r>
    </w:p>
    <w:p>
      <w:pPr>
        <w:pStyle w:val="ListBullet"/>
      </w:pPr>
      <w:r>
        <w:rPr>
          <w:b/>
        </w:rPr>
        <w:t>Structured Renegotiation Gates</w:t>
      </w:r>
      <w:r>
        <w:t>: Set semiannual review triggers tied to macro indicators (tariffs, FX thresholds) and technology readiness to keep terms aligned without reneging.</w:t>
      </w:r>
    </w:p>
    <w:p>
      <w:pPr>
        <w:pStyle w:val="ListBullet"/>
      </w:pPr>
      <w:r>
        <w:rPr>
          <w:b/>
        </w:rPr>
        <w:t>Digital Transparency (ROI Enabler)</w:t>
      </w:r>
      <w:r>
        <w:t>: Mandate EDI, shared dashboards, and predictive analytics for demand, cost, and logistics to maintain trust and shorten dispute cycles.</w:t>
      </w:r>
    </w:p>
    <w:p>
      <w:pPr>
        <w:pStyle w:val="Heading2"/>
      </w:pPr>
      <w:r>
        <w:t>Supplier Landscape (To Be Validated)</w:t>
      </w:r>
    </w:p>
    <w:p>
      <w:r>
        <w:rPr>
          <w:b/>
        </w:rPr>
        <w:t>Data caveat</w:t>
      </w:r>
      <w:r>
        <w:t>: Rankings and locations combine Ford purchasing intel, public filings, and industry benchmarks; confirm volumes and plant status with current sourcing data before contracting.</w:t>
      </w:r>
    </w:p>
    <w:p>
      <w:pPr>
        <w:pStyle w:val="Heading3"/>
      </w:pPr>
      <w:r>
        <w:t>Ford Brake Caliper Suppliers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Supplier (Est. Volume Rank)</w:t>
            </w:r>
          </w:p>
        </w:tc>
        <w:tc>
          <w:tcPr>
            <w:tcW w:type="dxa" w:w="0"/>
          </w:tcPr>
          <w:p>
            <w:r>
              <w:t>Primary Manufacturing Locations Serving Ford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ZF TRW (1)</w:t>
            </w:r>
          </w:p>
        </w:tc>
        <w:tc>
          <w:tcPr>
            <w:tcW w:type="dxa" w:w="0"/>
          </w:tcPr>
          <w:p>
            <w:r>
              <w:t>Fislisbach, Switzerland (engineering); Wojnicz, Poland (casting/machining); Nuevo León, Mexico (assembly)</w:t>
            </w:r>
          </w:p>
        </w:tc>
        <w:tc>
          <w:tcPr>
            <w:tcW w:type="dxa" w:w="0"/>
          </w:tcPr>
          <w:p>
            <w:r>
              <w:t>Long-term Ford braking supplier covering F-150 and SUV programs; mix of aluminum and ductile iron calipers.</w:t>
            </w:r>
          </w:p>
        </w:tc>
      </w:tr>
      <w:tr>
        <w:tc>
          <w:tcPr>
            <w:tcW w:type="dxa" w:w="0"/>
          </w:tcPr>
          <w:p>
            <w:r>
              <w:t>Continental Automotive (2)</w:t>
            </w:r>
          </w:p>
        </w:tc>
        <w:tc>
          <w:tcPr>
            <w:tcW w:type="dxa" w:w="0"/>
          </w:tcPr>
          <w:p>
            <w:r>
              <w:t>Frankfurt/Oder, Germany; Aguascalientes, Mexico; Wuhu, China</w:t>
            </w:r>
          </w:p>
        </w:tc>
        <w:tc>
          <w:tcPr>
            <w:tcW w:type="dxa" w:w="0"/>
          </w:tcPr>
          <w:p>
            <w:r>
              <w:t>Supplies mid-size sedan and crossover lines; strong electronic parking brake integration.</w:t>
            </w:r>
          </w:p>
        </w:tc>
      </w:tr>
      <w:tr>
        <w:tc>
          <w:tcPr>
            <w:tcW w:type="dxa" w:w="0"/>
          </w:tcPr>
          <w:p>
            <w:r>
              <w:t>Brembo (3)</w:t>
            </w:r>
          </w:p>
        </w:tc>
        <w:tc>
          <w:tcPr>
            <w:tcW w:type="dxa" w:w="0"/>
          </w:tcPr>
          <w:p>
            <w:r>
              <w:t>Homer, Michigan (machining/assembly); Stezzano, Italy (engineering); Escobedo, Mexico (foundry)</w:t>
            </w:r>
          </w:p>
        </w:tc>
        <w:tc>
          <w:tcPr>
            <w:tcW w:type="dxa" w:w="0"/>
          </w:tcPr>
          <w:p>
            <w:r>
              <w:t>Focus on performance and premium trims; owns joint venture with Ford Performance for specialty calipers.</w:t>
            </w:r>
          </w:p>
        </w:tc>
      </w:tr>
      <w:tr>
        <w:tc>
          <w:tcPr>
            <w:tcW w:type="dxa" w:w="0"/>
          </w:tcPr>
          <w:p>
            <w:r>
              <w:t>Akebono Brake Corporation (4)</w:t>
            </w:r>
          </w:p>
        </w:tc>
        <w:tc>
          <w:tcPr>
            <w:tcW w:type="dxa" w:w="0"/>
          </w:tcPr>
          <w:p>
            <w:r>
              <w:t>Elizabethtown, Kentucky; Iwate, Japan</w:t>
            </w:r>
          </w:p>
        </w:tc>
        <w:tc>
          <w:tcPr>
            <w:tcW w:type="dxa" w:w="0"/>
          </w:tcPr>
          <w:p>
            <w:r>
              <w:t>Supports North American passenger platforms; known for low-dust ceramic calipers.</w:t>
            </w:r>
          </w:p>
        </w:tc>
      </w:tr>
      <w:tr>
        <w:tc>
          <w:tcPr>
            <w:tcW w:type="dxa" w:w="0"/>
          </w:tcPr>
          <w:p>
            <w:r>
              <w:t>Mando Corporation (5)</w:t>
            </w:r>
          </w:p>
        </w:tc>
        <w:tc>
          <w:tcPr>
            <w:tcW w:type="dxa" w:w="0"/>
          </w:tcPr>
          <w:p>
            <w:r>
              <w:t>Pyeongtaek, South Korea; Opelika, Alabama (JV machining)</w:t>
            </w:r>
          </w:p>
        </w:tc>
        <w:tc>
          <w:tcPr>
            <w:tcW w:type="dxa" w:w="0"/>
          </w:tcPr>
          <w:p>
            <w:r>
              <w:t>Provides calipers for global CD segment; competitive on integrated EPB units.</w:t>
            </w:r>
          </w:p>
        </w:tc>
      </w:tr>
      <w:tr>
        <w:tc>
          <w:tcPr>
            <w:tcW w:type="dxa" w:w="0"/>
          </w:tcPr>
          <w:p>
            <w:r>
              <w:t>Robert Bosch (6)</w:t>
            </w:r>
          </w:p>
        </w:tc>
        <w:tc>
          <w:tcPr>
            <w:tcW w:type="dxa" w:w="0"/>
          </w:tcPr>
          <w:p>
            <w:r>
              <w:t>Juárez, Mexico; Bursa, Turkey</w:t>
            </w:r>
          </w:p>
        </w:tc>
        <w:tc>
          <w:tcPr>
            <w:tcW w:type="dxa" w:w="0"/>
          </w:tcPr>
          <w:p>
            <w:r>
              <w:t>Targeted programs in light commercial vehicles; diversified footprint useful for risk balancing.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Other Major OEM Caliper Suppliers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Supplier (Est. Global Rank)</w:t>
            </w:r>
          </w:p>
        </w:tc>
        <w:tc>
          <w:tcPr>
            <w:tcW w:type="dxa" w:w="0"/>
          </w:tcPr>
          <w:p>
            <w:r>
              <w:t>Primary Manufacturing Locations</w:t>
            </w:r>
          </w:p>
        </w:tc>
        <w:tc>
          <w:tcPr>
            <w:tcW w:type="dxa" w:w="0"/>
          </w:tcPr>
          <w:p>
            <w:r>
              <w:t>Key OEM Customers</w:t>
            </w:r>
          </w:p>
        </w:tc>
      </w:tr>
      <w:tr>
        <w:tc>
          <w:tcPr>
            <w:tcW w:type="dxa" w:w="0"/>
          </w:tcPr>
          <w:p>
            <w:r>
              <w:t>Brembo</w:t>
            </w:r>
          </w:p>
        </w:tc>
        <w:tc>
          <w:tcPr>
            <w:tcW w:type="dxa" w:w="0"/>
          </w:tcPr>
          <w:p>
            <w:r>
              <w:t>Stezzano &amp; Mapello, Italy; Nanjing, China; Escobedo, Mexico; Homer, Michigan</w:t>
            </w:r>
          </w:p>
        </w:tc>
        <w:tc>
          <w:tcPr>
            <w:tcW w:type="dxa" w:w="0"/>
          </w:tcPr>
          <w:p>
            <w:r>
              <w:t>Ferrari, GM, Stellantis, BMW, Tesla</w:t>
            </w:r>
          </w:p>
        </w:tc>
      </w:tr>
      <w:tr>
        <w:tc>
          <w:tcPr>
            <w:tcW w:type="dxa" w:w="0"/>
          </w:tcPr>
          <w:p>
            <w:r>
              <w:t>Continental</w:t>
            </w:r>
          </w:p>
        </w:tc>
        <w:tc>
          <w:tcPr>
            <w:tcW w:type="dxa" w:w="0"/>
          </w:tcPr>
          <w:p>
            <w:r>
              <w:t>Frankfurt/Oder, Germany; Aguascalientes, Mexico; Changshu, China</w:t>
            </w:r>
          </w:p>
        </w:tc>
        <w:tc>
          <w:tcPr>
            <w:tcW w:type="dxa" w:w="0"/>
          </w:tcPr>
          <w:p>
            <w:r>
              <w:t>VW Group, Daimler Truck, Hyundai-Kia</w:t>
            </w:r>
          </w:p>
        </w:tc>
      </w:tr>
      <w:tr>
        <w:tc>
          <w:tcPr>
            <w:tcW w:type="dxa" w:w="0"/>
          </w:tcPr>
          <w:p>
            <w:r>
              <w:t>ZF TRW</w:t>
            </w:r>
          </w:p>
        </w:tc>
        <w:tc>
          <w:tcPr>
            <w:tcW w:type="dxa" w:w="0"/>
          </w:tcPr>
          <w:p>
            <w:r>
              <w:t>Wojnicz, Poland; Pamplona, Spain; Anting, China</w:t>
            </w:r>
          </w:p>
        </w:tc>
        <w:tc>
          <w:tcPr>
            <w:tcW w:type="dxa" w:w="0"/>
          </w:tcPr>
          <w:p>
            <w:r>
              <w:t>Stellantis, VW, GM</w:t>
            </w:r>
          </w:p>
        </w:tc>
      </w:tr>
      <w:tr>
        <w:tc>
          <w:tcPr>
            <w:tcW w:type="dxa" w:w="0"/>
          </w:tcPr>
          <w:p>
            <w:r>
              <w:t>Akebono</w:t>
            </w:r>
          </w:p>
        </w:tc>
        <w:tc>
          <w:tcPr>
            <w:tcW w:type="dxa" w:w="0"/>
          </w:tcPr>
          <w:p>
            <w:r>
              <w:t>Iwate &amp; Fukushima, Japan; Tennessee, USA; Guanajuato, Mexico</w:t>
            </w:r>
          </w:p>
        </w:tc>
        <w:tc>
          <w:tcPr>
            <w:tcW w:type="dxa" w:w="0"/>
          </w:tcPr>
          <w:p>
            <w:r>
              <w:t>Toyota, Honda, Nissan</w:t>
            </w:r>
          </w:p>
        </w:tc>
      </w:tr>
      <w:tr>
        <w:tc>
          <w:tcPr>
            <w:tcW w:type="dxa" w:w="0"/>
          </w:tcPr>
          <w:p>
            <w:r>
              <w:t>Mando</w:t>
            </w:r>
          </w:p>
        </w:tc>
        <w:tc>
          <w:tcPr>
            <w:tcW w:type="dxa" w:w="0"/>
          </w:tcPr>
          <w:p>
            <w:r>
              <w:t>Pyeongtaek, South Korea; Hefei, China; Chennai, India</w:t>
            </w:r>
          </w:p>
        </w:tc>
        <w:tc>
          <w:tcPr>
            <w:tcW w:type="dxa" w:w="0"/>
          </w:tcPr>
          <w:p>
            <w:r>
              <w:t>Hyundai-Kia, Ford, Mahindra</w:t>
            </w:r>
          </w:p>
        </w:tc>
      </w:tr>
      <w:tr>
        <w:tc>
          <w:tcPr>
            <w:tcW w:type="dxa" w:w="0"/>
          </w:tcPr>
          <w:p>
            <w:r>
              <w:t>ADVICS (Aisin Group)</w:t>
            </w:r>
          </w:p>
        </w:tc>
        <w:tc>
          <w:tcPr>
            <w:tcW w:type="dxa" w:w="0"/>
          </w:tcPr>
          <w:p>
            <w:r>
              <w:t>Handa &amp; Kariya, Japan; Lebanon, Kentucky</w:t>
            </w:r>
          </w:p>
        </w:tc>
        <w:tc>
          <w:tcPr>
            <w:tcW w:type="dxa" w:w="0"/>
          </w:tcPr>
          <w:p>
            <w:r>
              <w:t>Toyota, Subaru, Mazda</w:t>
            </w:r>
          </w:p>
        </w:tc>
      </w:tr>
      <w:tr>
        <w:tc>
          <w:tcPr>
            <w:tcW w:type="dxa" w:w="0"/>
          </w:tcPr>
          <w:p>
            <w:r>
              <w:t>Nissin Kogyo</w:t>
            </w:r>
          </w:p>
        </w:tc>
        <w:tc>
          <w:tcPr>
            <w:tcW w:type="dxa" w:w="0"/>
          </w:tcPr>
          <w:p>
            <w:r>
              <w:t>Fukuroi, Japan; Ohio, USA; Foshan, China</w:t>
            </w:r>
          </w:p>
        </w:tc>
        <w:tc>
          <w:tcPr>
            <w:tcW w:type="dxa" w:w="0"/>
          </w:tcPr>
          <w:p>
            <w:r>
              <w:t>Honda, Suzuki, Mazda</w:t>
            </w:r>
          </w:p>
        </w:tc>
      </w:tr>
      <w:tr>
        <w:tc>
          <w:tcPr>
            <w:tcW w:type="dxa" w:w="0"/>
          </w:tcPr>
          <w:p>
            <w:r>
              <w:t>Brakes India (TVS)</w:t>
            </w:r>
          </w:p>
        </w:tc>
        <w:tc>
          <w:tcPr>
            <w:tcW w:type="dxa" w:w="0"/>
          </w:tcPr>
          <w:p>
            <w:r>
              <w:t>Sholinghur &amp; Polambakkam, India</w:t>
            </w:r>
          </w:p>
        </w:tc>
        <w:tc>
          <w:tcPr>
            <w:tcW w:type="dxa" w:w="0"/>
          </w:tcPr>
          <w:p>
            <w:r>
              <w:t>Mahindra, Tata, global aftermarket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Detailed Work Plan</w:t>
      </w:r>
    </w:p>
    <w:p>
      <w:pPr>
        <w:pStyle w:val="Heading2"/>
      </w:pPr>
    </w:p>
    <w:p>
      <w:pPr>
        <w:pStyle w:val="ListBullet"/>
      </w:pPr>
      <w:r>
        <w:rPr>
          <w:b/>
        </w:rPr>
        <w:t>Phase 0 (Weeks 0–4)</w:t>
      </w:r>
      <w:r>
        <w:t>: Build should-cost and risk models; map supplier footprint, capacity, and geopolitical exposure; baseline quality validation timelines and technology maturity by supplier.</w:t>
      </w:r>
    </w:p>
    <w:p>
      <w:pPr>
        <w:pStyle w:val="ListBullet"/>
      </w:pPr>
      <w:r>
        <w:rPr>
          <w:b/>
        </w:rPr>
        <w:t>Phase 1 (Weeks 4–10)</w:t>
      </w:r>
      <w:r>
        <w:t>: Run contract workshops with Ford purchasing, engineering, finance, and top suppliers; quantify ROI per lever; draft roadmap, capital, and cost transparency clauses; secure legal review.</w:t>
      </w:r>
    </w:p>
    <w:p>
      <w:pPr>
        <w:pStyle w:val="ListBullet"/>
      </w:pPr>
      <w:r>
        <w:rPr>
          <w:b/>
        </w:rPr>
        <w:t>Phase 2 (Weeks 10–18)</w:t>
      </w:r>
      <w:r>
        <w:t>: Pilot roadmap + capital clauses with one high-volume caliper family; deploy automation or process improvements; launch digital cost tracker; validate engineering tests to avoid line stoppages.</w:t>
      </w:r>
    </w:p>
    <w:p>
      <w:pPr>
        <w:pStyle w:val="ListBullet"/>
      </w:pPr>
      <w:r>
        <w:rPr>
          <w:b/>
        </w:rPr>
        <w:t>Phase 2A (Weeks 14–26)</w:t>
      </w:r>
      <w:r>
        <w:t>: Stand up agile technology squads (procurement, engineering, supplier reps) to evaluate next-gen caliper concepts; run 4-week sprints covering business case, prototype feasibility, lab validation plan, and contract implications before scaling to sourcing events.</w:t>
      </w:r>
    </w:p>
    <w:p>
      <w:pPr>
        <w:pStyle w:val="ListBullet"/>
      </w:pPr>
      <w:r>
        <w:rPr>
          <w:b/>
        </w:rPr>
        <w:t>Phase 3 (Weeks 18–32)</w:t>
      </w:r>
      <w:r>
        <w:t>: Scale to remaining suppliers; activate indexed pricing, performance rebates, and volume protections; embed structured renegotiation cadence; integrate logistics changes (regional finishing, milk-runs, reusable packaging).</w:t>
      </w:r>
    </w:p>
    <w:p>
      <w:pPr>
        <w:pStyle w:val="ListBullet"/>
      </w:pPr>
      <w:r>
        <w:rPr>
          <w:b/>
        </w:rPr>
        <w:t>Phase 4 (Weeks 32+)</w:t>
      </w:r>
      <w:r>
        <w:t>: Continuous improvement loop; quarterly cost stack reconciliation; adjust roadmap for new tech readiness, product refreshes, or regulatory changes; feed results into Ford’s SIOP.</w:t>
      </w:r>
    </w:p>
    <w:p>
      <w:pPr>
        <w:pStyle w:val="Heading2"/>
      </w:pPr>
      <w:r>
        <w:t>New Brake Caliper Technology Evaluation Backlog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Technology</w:t>
            </w:r>
          </w:p>
        </w:tc>
        <w:tc>
          <w:tcPr>
            <w:tcW w:type="dxa" w:w="0"/>
          </w:tcPr>
          <w:p>
            <w:r>
              <w:t>Description &amp; Benefits</w:t>
            </w:r>
          </w:p>
        </w:tc>
        <w:tc>
          <w:tcPr>
            <w:tcW w:type="dxa" w:w="0"/>
          </w:tcPr>
          <w:p>
            <w:r>
              <w:t>Supplier Readiness (2025 view)</w:t>
            </w:r>
          </w:p>
        </w:tc>
        <w:tc>
          <w:tcPr>
            <w:tcW w:type="dxa" w:w="0"/>
          </w:tcPr>
          <w:p>
            <w:r>
              <w:t>Agile Evaluation Focus</w:t>
            </w:r>
          </w:p>
        </w:tc>
      </w:tr>
      <w:tr>
        <w:tc>
          <w:tcPr>
            <w:tcW w:type="dxa" w:w="0"/>
          </w:tcPr>
          <w:p>
            <w:r>
              <w:t>Electromechanical brake-by-wire calipers</w:t>
            </w:r>
          </w:p>
        </w:tc>
        <w:tc>
          <w:tcPr>
            <w:tcW w:type="dxa" w:w="0"/>
          </w:tcPr>
          <w:p>
            <w:r>
              <w:t>Replaces hydraulic actuation with electronic control, improving response time and enabling advanced ADAS integration; reduces hydraulic components and maintenance.</w:t>
            </w:r>
          </w:p>
        </w:tc>
        <w:tc>
          <w:tcPr>
            <w:tcW w:type="dxa" w:w="0"/>
          </w:tcPr>
          <w:p>
            <w:r>
              <w:t>Continental (MK C2) in SOP with premium OEMs; Brembo Sensify pilots with Fisker &amp; Porsche; ZF working on modular EMB for EV vans.</w:t>
            </w:r>
          </w:p>
        </w:tc>
        <w:tc>
          <w:tcPr>
            <w:tcW w:type="dxa" w:w="0"/>
          </w:tcPr>
          <w:p>
            <w:r>
              <w:t>Sprint 1: business case vs. hydraulic baseline; Sprint 2: integration with Ford ABS/ESC architecture; Sprint 3: validation of redundancy, fail-safe testing, and FMVSS compliance.</w:t>
            </w:r>
          </w:p>
        </w:tc>
      </w:tr>
      <w:tr>
        <w:tc>
          <w:tcPr>
            <w:tcW w:type="dxa" w:w="0"/>
          </w:tcPr>
          <w:p>
            <w:r>
              <w:t>Smart calipers with embedded sensing</w:t>
            </w:r>
          </w:p>
        </w:tc>
        <w:tc>
          <w:tcPr>
            <w:tcW w:type="dxa" w:w="0"/>
          </w:tcPr>
          <w:p>
            <w:r>
              <w:t>Built-in pad wear, temperature, and vibration sensors feeding predictive maintenance analytics.</w:t>
            </w:r>
          </w:p>
        </w:tc>
        <w:tc>
          <w:tcPr>
            <w:tcW w:type="dxa" w:w="0"/>
          </w:tcPr>
          <w:p>
            <w:r>
              <w:t>ZF Smart Caliper demos in 2024; Brembo Sensify nodes include edge compute; Bosch developing connected caliper modules.</w:t>
            </w:r>
          </w:p>
        </w:tc>
        <w:tc>
          <w:tcPr>
            <w:tcW w:type="dxa" w:w="0"/>
          </w:tcPr>
          <w:p>
            <w:r>
              <w:t>Sprint 1: data architecture &amp; cybersecurity gating; Sprint 2: pilot telemetry on Ford durability mules; Sprint 3: cost-sharing and warranty responsibility in contracts.</w:t>
            </w:r>
          </w:p>
        </w:tc>
      </w:tr>
      <w:tr>
        <w:tc>
          <w:tcPr>
            <w:tcW w:type="dxa" w:w="0"/>
          </w:tcPr>
          <w:p>
            <w:r>
              <w:t>Lightweight aluminum or hybrid-material monobloc calipers</w:t>
            </w:r>
          </w:p>
        </w:tc>
        <w:tc>
          <w:tcPr>
            <w:tcW w:type="dxa" w:w="0"/>
          </w:tcPr>
          <w:p>
            <w:r>
              <w:t>Topology-optimized or additive-assisted castings cutting unsprung mass 10–20%, improving fuel economy/EV range.</w:t>
            </w:r>
          </w:p>
        </w:tc>
        <w:tc>
          <w:tcPr>
            <w:tcW w:type="dxa" w:w="0"/>
          </w:tcPr>
          <w:p>
            <w:r>
              <w:t>Brembo additive aluminum calipers on Corvette Z06; Akebono aluminum monobloc for Toyota TNGA; Mando exploring composite-backed pistons for EVs.</w:t>
            </w:r>
          </w:p>
        </w:tc>
        <w:tc>
          <w:tcPr>
            <w:tcW w:type="dxa" w:w="0"/>
          </w:tcPr>
          <w:p>
            <w:r>
              <w:t>Sprint 1: structural simulation &amp; corrosion trade-offs; Sprint 2: machining cycle-time impact; Sprint 3: PPAP/validation, salt spray, and NVH testing.</w:t>
            </w:r>
          </w:p>
        </w:tc>
      </w:tr>
      <w:tr>
        <w:tc>
          <w:tcPr>
            <w:tcW w:type="dxa" w:w="0"/>
          </w:tcPr>
          <w:p>
            <w:r>
              <w:t>Copper-free friction systems with advanced coatings</w:t>
            </w:r>
          </w:p>
        </w:tc>
        <w:tc>
          <w:tcPr>
            <w:tcW w:type="dxa" w:w="0"/>
          </w:tcPr>
          <w:p>
            <w:r>
              <w:t>Meets 2025/2030 low-copper mandates while extending rotor life; reduced particulate emissions.</w:t>
            </w:r>
          </w:p>
        </w:tc>
        <w:tc>
          <w:tcPr>
            <w:tcW w:type="dxa" w:w="0"/>
          </w:tcPr>
          <w:p>
            <w:r>
              <w:t>Akebono Proact Ultra-Premium already copper-free; Continental’s ATE Ceramic pads; Bosch iDisc surface coating scaled in EU.</w:t>
            </w:r>
          </w:p>
        </w:tc>
        <w:tc>
          <w:tcPr>
            <w:tcW w:type="dxa" w:w="0"/>
          </w:tcPr>
          <w:p>
            <w:r>
              <w:t>Sprint 1: regulatory compliance mapping (CA/WA); Sprint 2: dyno test correlation to Ford duty cycles; Sprint 3: coating line investment and cost-share terms.</w:t>
            </w:r>
          </w:p>
        </w:tc>
      </w:tr>
      <w:tr>
        <w:tc>
          <w:tcPr>
            <w:tcW w:type="dxa" w:w="0"/>
          </w:tcPr>
          <w:p>
            <w:r>
              <w:t>Integrated electric parking brake (EPB) calipers for light trucks</w:t>
            </w:r>
          </w:p>
        </w:tc>
        <w:tc>
          <w:tcPr>
            <w:tcW w:type="dxa" w:w="0"/>
          </w:tcPr>
          <w:p>
            <w:r>
              <w:t>Combines service and parking brake in one unit, reducing cables and assembly complexity while enabling driver-assist functions.</w:t>
            </w:r>
          </w:p>
        </w:tc>
        <w:tc>
          <w:tcPr>
            <w:tcW w:type="dxa" w:w="0"/>
          </w:tcPr>
          <w:p>
            <w:r>
              <w:t>Mando EPB calipers on Hyundai/Kia, scaling to Ford CD platforms; Continental/Meritor EPB for commercial vans; ZF TRW EPB widely adopted in EU SUVs.</w:t>
            </w:r>
          </w:p>
        </w:tc>
        <w:tc>
          <w:tcPr>
            <w:tcW w:type="dxa" w:w="0"/>
          </w:tcPr>
          <w:p>
            <w:r>
              <w:t>Sprint 1: load case verification for F-150/Super Duty; Sprint 2: assembly line impact and tooling; Sprint 3: supplier warranty and serviceability analysis.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Global Complexity Integration</w:t>
      </w:r>
    </w:p>
    <w:p>
      <w:pPr>
        <w:pStyle w:val="Heading2"/>
      </w:pPr>
    </w:p>
    <w:p>
      <w:pPr>
        <w:pStyle w:val="ListBullet"/>
      </w:pPr>
      <w:r>
        <w:rPr>
          <w:b/>
        </w:rPr>
        <w:t>Geopolitical Shifts</w:t>
      </w:r>
      <w:r>
        <w:t>: Maintain dual-source regions (NA, EU, APAC) with contract clauses for rapid volume reallocation; include tariff/sanction triggers in renegotiation gates.</w:t>
      </w:r>
    </w:p>
    <w:p>
      <w:pPr>
        <w:pStyle w:val="ListBullet"/>
      </w:pPr>
      <w:r>
        <w:rPr>
          <w:b/>
        </w:rPr>
        <w:t>Economic Volatility</w:t>
      </w:r>
      <w:r>
        <w:t>: Use indexed pricing and open-book reconciliations to stabilize cash flow; keep contingency scenarios for FX swings and energy surcharges.</w:t>
      </w:r>
    </w:p>
    <w:p>
      <w:pPr>
        <w:pStyle w:val="ListBullet"/>
      </w:pPr>
      <w:r>
        <w:rPr>
          <w:b/>
        </w:rPr>
        <w:t>Engineering Tests</w:t>
      </w:r>
      <w:r>
        <w:t>: Link roadmap milestones to validation gates; prebook lab time and align PPAP sequencing to avoid launch delays.</w:t>
      </w:r>
    </w:p>
    <w:p>
      <w:pPr>
        <w:pStyle w:val="ListBullet"/>
      </w:pPr>
      <w:r>
        <w:rPr>
          <w:b/>
        </w:rPr>
        <w:t>Technology Readiness</w:t>
      </w:r>
      <w:r>
        <w:t>: Stage capital co-investments only after TRL assessment; include fallback processes if automation ROI slips.</w:t>
      </w:r>
    </w:p>
    <w:p>
      <w:pPr>
        <w:pStyle w:val="ListBullet"/>
      </w:pPr>
      <w:r>
        <w:rPr>
          <w:b/>
        </w:rPr>
        <w:t>Market Fluctuations</w:t>
      </w:r>
      <w:r>
        <w:t>: Embed demand flex bands and VMI/kanban triggers in contracts; ensure volume protections preserve supplier viability during demand shocks.</w:t>
      </w:r>
    </w:p>
    <w:p>
      <w:pPr>
        <w:pStyle w:val="Heading2"/>
      </w:pPr>
      <w:r>
        <w:t>Geopolitical And Tariff Considerations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Event / Policy</w:t>
            </w:r>
          </w:p>
        </w:tc>
        <w:tc>
          <w:tcPr>
            <w:tcW w:type="dxa" w:w="0"/>
          </w:tcPr>
          <w:p>
            <w:r>
              <w:t>Impact on Brake Calipers</w:t>
            </w:r>
          </w:p>
        </w:tc>
        <w:tc>
          <w:tcPr>
            <w:tcW w:type="dxa" w:w="0"/>
          </w:tcPr>
          <w:p>
            <w:r>
              <w:t>Implications for Sourcing Strategy</w:t>
            </w:r>
          </w:p>
        </w:tc>
      </w:tr>
      <w:tr>
        <w:tc>
          <w:tcPr>
            <w:tcW w:type="dxa" w:w="0"/>
          </w:tcPr>
          <w:p>
            <w:r>
              <w:t>USMCA automotive content rules (Regional Value Content ≥75%, Labor Value Content for light vehicles)</w:t>
            </w:r>
          </w:p>
        </w:tc>
        <w:tc>
          <w:tcPr>
            <w:tcW w:type="dxa" w:w="0"/>
          </w:tcPr>
          <w:p>
            <w:r>
              <w:t>Requires higher North American content share; noncompliance can trigger 2.5% US MFN duty on calipers assembled in Mexico/Canada.</w:t>
            </w:r>
          </w:p>
        </w:tc>
        <w:tc>
          <w:tcPr>
            <w:tcW w:type="dxa" w:w="0"/>
          </w:tcPr>
          <w:p>
            <w:r>
              <w:t>Ensure BOM traceability and certification processes; include contract clauses assigning responsibility for USMCA documentation; consider localizing machining to meet regional value thresholds.</w:t>
            </w:r>
          </w:p>
        </w:tc>
      </w:tr>
      <w:tr>
        <w:tc>
          <w:tcPr>
            <w:tcW w:type="dxa" w:w="0"/>
          </w:tcPr>
          <w:p>
            <w:r>
              <w:t>Section 301 US tariffs on Chinese automotive parts (List 3 at 25%)</w:t>
            </w:r>
          </w:p>
        </w:tc>
        <w:tc>
          <w:tcPr>
            <w:tcW w:type="dxa" w:w="0"/>
          </w:tcPr>
          <w:p>
            <w:r>
              <w:t>Calipers, castings, and subcomponents shipped from China into the US face 25% surcharge; exemptions periodically expire.</w:t>
            </w:r>
          </w:p>
        </w:tc>
        <w:tc>
          <w:tcPr>
            <w:tcW w:type="dxa" w:w="0"/>
          </w:tcPr>
          <w:p>
            <w:r>
              <w:t>Dual-source critical part families in Mexico/EU; leverage bonded warehouses or foreign trade zones; monitor USTR review cycles to time sourcing decisions.</w:t>
            </w:r>
          </w:p>
        </w:tc>
      </w:tr>
      <w:tr>
        <w:tc>
          <w:tcPr>
            <w:tcW w:type="dxa" w:w="0"/>
          </w:tcPr>
          <w:p>
            <w:r>
              <w:t>EU Carbon Border Adjustment Mechanism (CBAM) phase-in (2026 onward)</w:t>
            </w:r>
          </w:p>
        </w:tc>
        <w:tc>
          <w:tcPr>
            <w:tcW w:type="dxa" w:w="0"/>
          </w:tcPr>
          <w:p>
            <w:r>
              <w:t>Cast iron/aluminum calipers imported into EU will carry embedded-carbon reporting and fees linked to EU ETS carbon price.</w:t>
            </w:r>
          </w:p>
        </w:tc>
        <w:tc>
          <w:tcPr>
            <w:tcW w:type="dxa" w:w="0"/>
          </w:tcPr>
          <w:p>
            <w:r>
              <w:t>Capture supplier emissions data now; negotiate carbon-cost-sharing clauses; prioritize low-carbon foundries (renewables, scrap-based melt).</w:t>
            </w:r>
          </w:p>
        </w:tc>
      </w:tr>
      <w:tr>
        <w:tc>
          <w:tcPr>
            <w:tcW w:type="dxa" w:w="0"/>
          </w:tcPr>
          <w:p>
            <w:r>
              <w:t>Russia/Ukraine conflict and EU anti-dumping measures on iron castings</w:t>
            </w:r>
          </w:p>
        </w:tc>
        <w:tc>
          <w:tcPr>
            <w:tcW w:type="dxa" w:w="0"/>
          </w:tcPr>
          <w:p>
            <w:r>
              <w:t>Restricted access to low-cost castings from Russia; anti-dumping duties on certain Chinese iron products into EU up to 86%.</w:t>
            </w:r>
          </w:p>
        </w:tc>
        <w:tc>
          <w:tcPr>
            <w:tcW w:type="dxa" w:w="0"/>
          </w:tcPr>
          <w:p>
            <w:r>
              <w:t>Validate sourcing origin for EU programs; diversify to Turkey, India, or North America; include duty-change pass-through mechanisms.</w:t>
            </w:r>
          </w:p>
        </w:tc>
      </w:tr>
      <w:tr>
        <w:tc>
          <w:tcPr>
            <w:tcW w:type="dxa" w:w="0"/>
          </w:tcPr>
          <w:p>
            <w:r>
              <w:t>Mexico energy policy shifts and potential USMCA disputes</w:t>
            </w:r>
          </w:p>
        </w:tc>
        <w:tc>
          <w:tcPr>
            <w:tcW w:type="dxa" w:w="0"/>
          </w:tcPr>
          <w:p>
            <w:r>
              <w:t>Electricity market changes may raise industrial energy costs or trigger disputes affecting investment.</w:t>
            </w:r>
          </w:p>
        </w:tc>
        <w:tc>
          <w:tcPr>
            <w:tcW w:type="dxa" w:w="0"/>
          </w:tcPr>
          <w:p>
            <w:r>
              <w:t>Hedge power risks with onsite generation clauses; maintain contingency capacity in US/Canada; include energy-surcharge adjustment in pricing.</w:t>
            </w:r>
          </w:p>
        </w:tc>
      </w:tr>
      <w:tr>
        <w:tc>
          <w:tcPr>
            <w:tcW w:type="dxa" w:w="0"/>
          </w:tcPr>
          <w:p>
            <w:r>
              <w:t>China export controls on critical minerals (graphite, gallium, rare earths)</w:t>
            </w:r>
          </w:p>
        </w:tc>
        <w:tc>
          <w:tcPr>
            <w:tcW w:type="dxa" w:w="0"/>
          </w:tcPr>
          <w:p>
            <w:r>
              <w:t>Impacts coatings, sensors, and EPB electronics sourced in China; potential supply delays or price spikes.</w:t>
            </w:r>
          </w:p>
        </w:tc>
        <w:tc>
          <w:tcPr>
            <w:tcW w:type="dxa" w:w="0"/>
          </w:tcPr>
          <w:p>
            <w:r>
              <w:t>Stock critical minerals via non-Chinese suppliers; require suppliers to disclose mineral origin; build safety stock for sensor/EPB modules.</w:t>
            </w:r>
          </w:p>
        </w:tc>
      </w:tr>
      <w:tr>
        <w:tc>
          <w:tcPr>
            <w:tcW w:type="dxa" w:w="0"/>
          </w:tcPr>
          <w:p>
            <w:r>
              <w:t>India import duty adjustments on auto components (10–15%)</w:t>
            </w:r>
          </w:p>
        </w:tc>
        <w:tc>
          <w:tcPr>
            <w:tcW w:type="dxa" w:w="0"/>
          </w:tcPr>
          <w:p>
            <w:r>
              <w:t>Tariff protection can make Indian-sourced calipers less cost competitive for export; incentives exist for local manufacturing via PLI scheme.</w:t>
            </w:r>
          </w:p>
        </w:tc>
        <w:tc>
          <w:tcPr>
            <w:tcW w:type="dxa" w:w="0"/>
          </w:tcPr>
          <w:p>
            <w:r>
              <w:t>Balance Indian sourcing with local-to-India production for regional programs; negotiate duty drawback benefits when exporting.</w:t>
            </w:r>
          </w:p>
        </w:tc>
      </w:tr>
      <w:tr>
        <w:tc>
          <w:tcPr>
            <w:tcW w:type="dxa" w:w="0"/>
          </w:tcPr>
          <w:p>
            <w:r>
              <w:t>Currency and economic instability in Turkey &amp; Argentina</w:t>
            </w:r>
          </w:p>
        </w:tc>
        <w:tc>
          <w:tcPr>
            <w:tcW w:type="dxa" w:w="0"/>
          </w:tcPr>
          <w:p>
            <w:r>
              <w:t>Exchange-rate volatility affects Bosch Bursa and other regional suppliers, potentially triggering sudden price hikes.</w:t>
            </w:r>
          </w:p>
        </w:tc>
        <w:tc>
          <w:tcPr>
            <w:tcW w:type="dxa" w:w="0"/>
          </w:tcPr>
          <w:p>
            <w:r>
              <w:t>Add FX-adjustment clauses tied to specific benchmarks; consider hedging or alternate suppliers if volatility exceeds thresholds.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Tariff Management Checklist</w:t>
      </w:r>
      <w:r>
        <w:t xml:space="preserve"> - Maintain a live tariff matrix by HS code (870830/870839) covering major trade lanes; review quarterly. - Embed tariff-change triggers in structured renegotiation gates to adjust pricing swiftly. - Use bonded warehouses/FTZs for imports subject to re-export to avoid double duties. - Require suppliers to provide country-of-origin certificates and support for duty drawback or preference claims. - Scenario-plan for duty escalations up to 25% when evaluating dual-source business cases.</w:t>
      </w:r>
    </w:p>
    <w:p>
      <w:pPr>
        <w:pStyle w:val="Heading2"/>
      </w:pPr>
      <w:r>
        <w:t>Counterpoints &amp; Mitigations</w:t>
      </w:r>
    </w:p>
    <w:p>
      <w:pPr>
        <w:pStyle w:val="ListBullet"/>
      </w:pPr>
      <w:r>
        <w:rPr>
          <w:b/>
        </w:rPr>
        <w:t>ROI Doubt on Automation</w:t>
      </w:r>
      <w:r>
        <w:t>: Mitigate with shared payback models, phased capex release, and performance-based reimbursement.</w:t>
      </w:r>
    </w:p>
    <w:p>
      <w:pPr>
        <w:pStyle w:val="ListBullet"/>
      </w:pPr>
      <w:r>
        <w:rPr>
          <w:b/>
        </w:rPr>
        <w:t>Supplier Confidentiality Concerns</w:t>
      </w:r>
      <w:r>
        <w:t>: Use third-party audits and NDAs for open-book data; provide reciprocal transparency on Ford forecasts.</w:t>
      </w:r>
    </w:p>
    <w:p>
      <w:pPr>
        <w:pStyle w:val="ListBullet"/>
      </w:pPr>
      <w:r>
        <w:rPr>
          <w:b/>
        </w:rPr>
        <w:t>Index Volatility Overshoot</w:t>
      </w:r>
      <w:r>
        <w:t>: Apply collar bands and look-back averaging; add renegotiation clause if indices move beyond preset thresholds.</w:t>
      </w:r>
    </w:p>
    <w:p>
      <w:pPr>
        <w:pStyle w:val="ListBullet"/>
      </w:pPr>
      <w:r>
        <w:rPr>
          <w:b/>
        </w:rPr>
        <w:t>Engineering Change Fatigue</w:t>
      </w:r>
      <w:r>
        <w:t>: Coordinate VA/VE cadence with Ford product teams; bundle changes to minimize repeated validation.</w:t>
      </w:r>
    </w:p>
    <w:p>
      <w:pPr>
        <w:pStyle w:val="ListBullet"/>
      </w:pPr>
      <w:r>
        <w:rPr>
          <w:b/>
        </w:rPr>
        <w:t>Operational KPI Penalties</w:t>
      </w:r>
      <w:r>
        <w:t>: Ensure baseline metrics are jointly agreed; include cure periods and support resources before penalties activate.</w:t>
      </w:r>
    </w:p>
    <w:p>
      <w:pPr>
        <w:pStyle w:val="ListBullet"/>
      </w:pPr>
      <w:r>
        <w:rPr>
          <w:b/>
        </w:rPr>
        <w:t>Digital Integration Resistance</w:t>
      </w:r>
      <w:r>
        <w:t>: Offer co-funded EDI/onboarding support; establish governance that rewards data accuracy.</w:t>
      </w:r>
    </w:p>
    <w:p>
      <w:pPr>
        <w:pStyle w:val="ListBullet"/>
      </w:pPr>
      <w:r>
        <w:rPr>
          <w:b/>
        </w:rPr>
        <w:t>Geopolitical Production Risk</w:t>
      </w:r>
      <w:r>
        <w:t>: Maintain buffer inventory at regional hubs; secure alternate transport lanes and insurance riders.</w:t>
      </w:r>
    </w:p>
    <w:p>
      <w:pPr>
        <w:pStyle w:val="Heading2"/>
      </w:pPr>
      <w:r>
        <w:t>Immediate Next Steps</w:t>
      </w:r>
    </w:p>
    <w:p>
      <w:pPr>
        <w:pStyle w:val="ListBullet"/>
      </w:pPr>
      <w:r>
        <w:rPr>
          <w:b/>
        </w:rPr>
        <w:t>Validate Data</w:t>
      </w:r>
      <w:r>
        <w:t>: Confirm current cost, volume, and quality baselines with suppliers; finalize should-cost model.</w:t>
      </w:r>
    </w:p>
    <w:p>
      <w:pPr>
        <w:pStyle w:val="ListBullet"/>
      </w:pPr>
      <w:r>
        <w:rPr>
          <w:b/>
        </w:rPr>
        <w:t>Contract Blueprint</w:t>
      </w:r>
      <w:r>
        <w:t>: Draft lever-by-lever term sheet prioritized by ROI and review with Ford leadership.</w:t>
      </w:r>
    </w:p>
    <w:p>
      <w:pPr>
        <w:pStyle w:val="ListBullet"/>
      </w:pPr>
      <w:r>
        <w:rPr>
          <w:b/>
        </w:rPr>
        <w:t>Pilot Launch</w:t>
      </w:r>
      <w:r>
        <w:t>: Select flagship caliper program, align engineering validation calendar, and kick off roadmap plus capital investment clauses.</w:t>
      </w:r>
    </w:p>
    <w:p>
      <w:pPr>
        <w:pStyle w:val="ListBullet"/>
      </w:pPr>
      <w:r>
        <w:rPr>
          <w:b/>
        </w:rPr>
        <w:t>Governance Setup</w:t>
      </w:r>
      <w:r>
        <w:t>: Stand up cross-functional war room with dashboards tracking savings, KPIs, and macro indicators; agree escalation protocol.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brake-caliper-savings-strategy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