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27A3A3"/>
          <w:sz w:val="36"/>
        </w:rPr>
        <w:t>TenderTrace</w:t>
      </w:r>
    </w:p>
    <w:p>
      <w:pPr>
        <w:pStyle w:val="Title"/>
        <w:spacing w:before="320"/>
        <w:jc w:val="center"/>
      </w:pPr>
      <w:r>
        <w:t>全功能手动体验与验收指南</w:t>
      </w:r>
    </w:p>
    <w:p>
      <w:pPr>
        <w:spacing w:before="200"/>
        <w:jc w:val="center"/>
      </w:pPr>
      <w:r>
        <w:rPr>
          <w:rFonts w:ascii="Microsoft YaHei" w:hAnsi="Microsoft YaHei" w:eastAsia="Microsoft YaHei"/>
          <w:color w:val="60717C"/>
          <w:sz w:val="24"/>
        </w:rPr>
        <w:t>面向负责人 参赛队员与测试人员的逐项操作手册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5216"/>
      </w:tblGrid>
      <w:tr>
        <w:tc>
          <w:tcPr>
            <w:tcW w:type="dxa" w:w="4819"/>
            <w:shd w:fill="176B8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4819"/>
            <w:shd w:fill="F4F7F9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2026 年 9 月 29 日</w:t>
            </w:r>
          </w:p>
        </w:tc>
      </w:tr>
      <w:tr>
        <w:tc>
          <w:tcPr>
            <w:tcW w:type="dxa" w:w="4819"/>
            <w:shd w:fill="176B8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本地地址</w:t>
            </w:r>
          </w:p>
        </w:tc>
        <w:tc>
          <w:tcPr>
            <w:tcW w:type="dxa" w:w="4819"/>
            <w:shd w:fill="F4F7F9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http://127.0.0.1:8000/</w:t>
            </w:r>
          </w:p>
        </w:tc>
      </w:tr>
      <w:tr>
        <w:tc>
          <w:tcPr>
            <w:tcW w:type="dxa" w:w="4819"/>
            <w:shd w:fill="176B8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快速体验</w:t>
            </w:r>
          </w:p>
        </w:tc>
        <w:tc>
          <w:tcPr>
            <w:tcW w:type="dxa" w:w="4819"/>
            <w:shd w:fill="F4F7F9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20 分钟</w:t>
            </w:r>
          </w:p>
        </w:tc>
      </w:tr>
      <w:tr>
        <w:tc>
          <w:tcPr>
            <w:tcW w:type="dxa" w:w="4819"/>
            <w:shd w:fill="176B8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完整验收</w:t>
            </w:r>
          </w:p>
        </w:tc>
        <w:tc>
          <w:tcPr>
            <w:tcW w:type="dxa" w:w="4819"/>
            <w:shd w:fill="F4F7F9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90 至 120 分钟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4F7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76B87"/>
                <w:sz w:val="21"/>
              </w:rPr>
              <w:t>使用方式</w:t>
            </w:r>
          </w:p>
          <w:p>
            <w:pPr>
              <w:spacing w:after="60"/>
            </w:pPr>
            <w:r>
              <w:rPr>
                <w:rFonts w:ascii="Microsoft YaHei" w:hAnsi="Microsoft YaHei" w:eastAsia="Microsoft YaHei"/>
                <w:sz w:val="20"/>
              </w:rPr>
              <w:t>先按快速主线确认可演示，再按 T01 至 T26 逐项勾选。涉及飞书发送、任务、日历、确认和保存的操作会产生真实记录，请优先使用演示数据。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sz w:val="20"/>
        </w:rPr>
        <w:t>一、开始前先做三件事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>1. 启动项目</w:t>
      </w:r>
    </w:p>
    <w:p>
      <w:r>
        <w:rPr>
          <w:rFonts w:ascii="Microsoft YaHei" w:hAnsi="Microsoft YaHei" w:eastAsia="Microsoft YaHei"/>
          <w:sz w:val="20"/>
        </w:rPr>
        <w:t xml:space="preserve">在 </w:t>
      </w:r>
      <w:r>
        <w:rPr>
          <w:rFonts w:ascii="Consolas" w:hAnsi="Consolas" w:eastAsia="Consolas"/>
          <w:color w:val="176B87"/>
          <w:sz w:val="18"/>
        </w:rPr>
        <w:t>E:\tt</w:t>
      </w:r>
      <w:r>
        <w:rPr>
          <w:rFonts w:ascii="Microsoft YaHei" w:hAnsi="Microsoft YaHei" w:eastAsia="Microsoft YaHei"/>
          <w:sz w:val="20"/>
        </w:rPr>
        <w:t xml:space="preserve"> 打开 PowerShell，执行：</w:t>
      </w:r>
    </w:p>
    <w:p>
      <w:pPr>
        <w:keepLines/>
        <w:spacing w:before="40" w:after="140"/>
        <w:ind w:left="283" w:right="283"/>
        <w:keepLines/>
        <w:shd w:fill="EDF1F3"/>
      </w:pPr>
      <w:r>
        <w:rPr>
          <w:rFonts w:ascii="Consolas" w:hAnsi="Consolas" w:eastAsia="Consolas"/>
          <w:sz w:val="16"/>
        </w:rPr>
        <w:t>.\scripts\start-local.cmd</w:t>
      </w:r>
    </w:p>
    <w:p>
      <w:r>
        <w:rPr>
          <w:rFonts w:ascii="Microsoft YaHei" w:hAnsi="Microsoft YaHei" w:eastAsia="Microsoft YaHei"/>
          <w:sz w:val="20"/>
        </w:rPr>
        <w:t xml:space="preserve">浏览器打开 </w:t>
      </w:r>
      <w:r>
        <w:rPr>
          <w:rFonts w:ascii="Microsoft YaHei" w:hAnsi="Microsoft YaHei" w:eastAsia="Microsoft YaHei"/>
          <w:color w:val="176B87"/>
          <w:sz w:val="18"/>
          <w:u w:val="single"/>
        </w:rPr>
        <w:t>http://127.0.0.1:8000/</w:t>
      </w:r>
      <w:r>
        <w:rPr>
          <w:rFonts w:ascii="Microsoft YaHei" w:hAnsi="Microsoft YaHei" w:eastAsia="Microsoft YaHei"/>
          <w:sz w:val="20"/>
        </w:rPr>
        <w:t>。如果页面显示“无法访问此站点”，先执行：</w:t>
      </w:r>
    </w:p>
    <w:p>
      <w:pPr>
        <w:keepLines/>
        <w:spacing w:before="40" w:after="140"/>
        <w:ind w:left="283" w:right="283"/>
        <w:keepLines/>
        <w:shd w:fill="EDF1F3"/>
      </w:pPr>
      <w:r>
        <w:rPr>
          <w:rFonts w:ascii="Consolas" w:hAnsi="Consolas" w:eastAsia="Consolas"/>
          <w:sz w:val="16"/>
        </w:rPr>
        <w:t>Invoke-RestMethod http://127.0.0.1:8000/api/health</w:t>
        <w:br/>
        <w:t>Get-Content .\logs\local-service.log -Tail 100</w:t>
      </w:r>
    </w:p>
    <w:p>
      <w:r>
        <w:rPr>
          <w:rFonts w:ascii="Microsoft YaHei" w:hAnsi="Microsoft YaHei" w:eastAsia="Microsoft YaHei"/>
          <w:sz w:val="20"/>
        </w:rPr>
        <w:t xml:space="preserve">正确结果是健康接口显示 </w:t>
      </w:r>
      <w:r>
        <w:rPr>
          <w:rFonts w:ascii="Consolas" w:hAnsi="Consolas" w:eastAsia="Consolas"/>
          <w:color w:val="176B87"/>
          <w:sz w:val="18"/>
        </w:rPr>
        <w:t>status: ok</w:t>
      </w:r>
      <w:r>
        <w:rPr>
          <w:rFonts w:ascii="Microsoft YaHei" w:hAnsi="Microsoft YaHei" w:eastAsia="Microsoft YaHei"/>
          <w:sz w:val="20"/>
        </w:rPr>
        <w:t>，首页可以打开。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>2. 认识页面入口</w:t>
      </w:r>
    </w:p>
    <w:p>
      <w:r>
        <w:rPr>
          <w:rFonts w:ascii="Microsoft YaHei" w:hAnsi="Microsoft YaHei" w:eastAsia="Microsoft YaHei"/>
          <w:sz w:val="20"/>
        </w:rPr>
        <w:t>顶部主导航有“总决赛、机会、项目、企业、战情图、训练、协作”。</w:t>
      </w:r>
    </w:p>
    <w:p>
      <w:r>
        <w:rPr>
          <w:rFonts w:ascii="Microsoft YaHei" w:hAnsi="Microsoft YaHei" w:eastAsia="Microsoft YaHei"/>
          <w:sz w:val="20"/>
        </w:rPr>
        <w:t>“更多工具”中有“检索工作台、评委挑战、演示控制台、历史运行、订阅管理、数据源、评测与价值、用户记忆、设置”。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>3. 记录测试结果</w:t>
      </w:r>
    </w:p>
    <w:p>
      <w:r>
        <w:rPr>
          <w:rFonts w:ascii="Microsoft YaHei" w:hAnsi="Microsoft YaHei" w:eastAsia="Microsoft YaHei"/>
          <w:sz w:val="20"/>
        </w:rPr>
        <w:t>每个测试项完成后，在标题前标记：</w:t>
      </w:r>
    </w:p>
    <w:p>
      <w:pPr>
        <w:pStyle w:val="ListBullet"/>
      </w:pPr>
      <w:r>
        <w:rPr>
          <w:rFonts w:ascii="Consolas" w:hAnsi="Consolas" w:eastAsia="Consolas"/>
          <w:color w:val="176B87"/>
          <w:sz w:val="18"/>
        </w:rPr>
        <w:t>[通过]</w:t>
      </w:r>
      <w:r>
        <w:rPr>
          <w:rFonts w:ascii="Microsoft YaHei" w:hAnsi="Microsoft YaHei" w:eastAsia="Microsoft YaHei"/>
          <w:sz w:val="20"/>
        </w:rPr>
        <w:t>：步骤完成，结果与预期一致；</w:t>
      </w:r>
    </w:p>
    <w:p>
      <w:pPr>
        <w:pStyle w:val="ListBullet"/>
      </w:pPr>
      <w:r>
        <w:rPr>
          <w:rFonts w:ascii="Consolas" w:hAnsi="Consolas" w:eastAsia="Consolas"/>
          <w:color w:val="176B87"/>
          <w:sz w:val="18"/>
        </w:rPr>
        <w:t>[有差异]</w:t>
      </w:r>
      <w:r>
        <w:rPr>
          <w:rFonts w:ascii="Microsoft YaHei" w:hAnsi="Microsoft YaHei" w:eastAsia="Microsoft YaHei"/>
          <w:sz w:val="20"/>
        </w:rPr>
        <w:t>：能使用，但数字、文字或交互与预期不同；</w:t>
      </w:r>
    </w:p>
    <w:p>
      <w:pPr>
        <w:pStyle w:val="ListBullet"/>
      </w:pPr>
      <w:r>
        <w:rPr>
          <w:rFonts w:ascii="Consolas" w:hAnsi="Consolas" w:eastAsia="Consolas"/>
          <w:color w:val="176B87"/>
          <w:sz w:val="18"/>
        </w:rPr>
        <w:t>[失败]</w:t>
      </w:r>
      <w:r>
        <w:rPr>
          <w:rFonts w:ascii="Microsoft YaHei" w:hAnsi="Microsoft YaHei" w:eastAsia="Microsoft YaHei"/>
          <w:sz w:val="20"/>
        </w:rPr>
        <w:t>：打不开、报错、数据消失或无法继续；</w:t>
      </w:r>
    </w:p>
    <w:p>
      <w:pPr>
        <w:pStyle w:val="ListBullet"/>
      </w:pPr>
      <w:r>
        <w:rPr>
          <w:rFonts w:ascii="Consolas" w:hAnsi="Consolas" w:eastAsia="Consolas"/>
          <w:color w:val="176B87"/>
          <w:sz w:val="18"/>
        </w:rPr>
        <w:t>[跳过]</w:t>
      </w:r>
      <w:r>
        <w:rPr>
          <w:rFonts w:ascii="Microsoft YaHei" w:hAnsi="Microsoft YaHei" w:eastAsia="Microsoft YaHei"/>
          <w:sz w:val="20"/>
        </w:rPr>
        <w:t>：当前没有权限、账号或外部发送条件。</w:t>
      </w:r>
    </w:p>
    <w:p>
      <w:r>
        <w:rPr>
          <w:rFonts w:ascii="Microsoft YaHei" w:hAnsi="Microsoft YaHei" w:eastAsia="Microsoft YaHei"/>
          <w:sz w:val="20"/>
        </w:rPr>
        <w:t>涉及“发送飞书、创建任务、写入日历、保存记忆、确认结论”的按钮会产生真实记录。只想浏览时不要点击这些写入按钮。需要测试时请使用演示群、演示负责人和演示数据。</w:t>
      </w:r>
    </w:p>
    <w:p>
      <w:pPr>
        <w:pStyle w:val="Heading1"/>
      </w:pPr>
      <w:r>
        <w:rPr>
          <w:rFonts w:ascii="Microsoft YaHei" w:hAnsi="Microsoft YaHei" w:eastAsia="Microsoft YaHei"/>
          <w:sz w:val="20"/>
        </w:rPr>
        <w:t>二、20 分钟快速主线</w:t>
      </w:r>
    </w:p>
    <w:p>
      <w:r>
        <w:rPr>
          <w:rFonts w:ascii="Microsoft YaHei" w:hAnsi="Microsoft YaHei" w:eastAsia="Microsoft YaHei"/>
          <w:sz w:val="20"/>
        </w:rPr>
        <w:t>如果先想知道系统能不能完整演示，按以下顺序测试：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总决赛首页：查看机会、主案例和下一步动作；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机会雷达：打开北京或服务器类机会；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项目：打开 ARM 服务器主案例和数字孪生；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证据显微镜：查看一条要求的原文证据；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5. 企业：查看合作方风险和补证建议；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6. 协作：查看飞书战情室状态；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7. 训练：建立一个准备模式会话并回答一题；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8. 演示控制台：确认环境和主案例为可演示状态。</w:t>
      </w:r>
    </w:p>
    <w:p>
      <w:r>
        <w:rPr>
          <w:rFonts w:ascii="Microsoft YaHei" w:hAnsi="Microsoft YaHei" w:eastAsia="Microsoft YaHei"/>
          <w:sz w:val="20"/>
        </w:rPr>
        <w:t>推荐主案例标识：</w:t>
      </w:r>
      <w:r>
        <w:rPr>
          <w:rFonts w:ascii="Consolas" w:hAnsi="Consolas" w:eastAsia="Consolas"/>
          <w:color w:val="176B87"/>
          <w:sz w:val="18"/>
        </w:rPr>
        <w:t>pbc_procurement:04b40d52-b636-11f1-88d4-b4055dfb2cc6</w:t>
      </w:r>
      <w:r>
        <w:rPr>
          <w:rFonts w:ascii="Microsoft YaHei" w:hAnsi="Microsoft YaHei" w:eastAsia="Microsoft YaHei"/>
          <w:sz w:val="20"/>
        </w:rPr>
        <w:t>。</w:t>
      </w:r>
    </w:p>
    <w:p>
      <w:pPr>
        <w:pStyle w:val="Heading1"/>
      </w:pPr>
      <w:r>
        <w:rPr>
          <w:rFonts w:ascii="Microsoft YaHei" w:hAnsi="Microsoft YaHei" w:eastAsia="Microsoft YaHei"/>
          <w:sz w:val="20"/>
        </w:rPr>
        <w:t>三、逐项手动验收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T01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服务与环境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目的：</w:t>
      </w:r>
      <w:r>
        <w:rPr>
          <w:rFonts w:ascii="Microsoft YaHei" w:hAnsi="Microsoft YaHei" w:eastAsia="Microsoft YaHei"/>
          <w:sz w:val="20"/>
        </w:rPr>
        <w:t xml:space="preserve"> 确认本机不是只剩静态页面，后端和数据库也在工作。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 xml:space="preserve">1. 打开 </w:t>
      </w:r>
      <w:r>
        <w:rPr>
          <w:rFonts w:ascii="Microsoft YaHei" w:hAnsi="Microsoft YaHei" w:eastAsia="Microsoft YaHei"/>
          <w:color w:val="176B87"/>
          <w:sz w:val="18"/>
          <w:u w:val="single"/>
        </w:rPr>
        <w:t>http://127.0.0.1:8000/api/health</w:t>
      </w:r>
      <w:r>
        <w:rPr>
          <w:rFonts w:ascii="Microsoft YaHei" w:hAnsi="Microsoft YaHei" w:eastAsia="Microsoft YaHei"/>
          <w:sz w:val="20"/>
        </w:rPr>
        <w:t>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回到首页并刷新两次；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打开“更多工具 &gt; 演示控制台”。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 xml:space="preserve">健康接口返回 HTTP 200 和 </w:t>
      </w:r>
      <w:r>
        <w:rPr>
          <w:rFonts w:ascii="Consolas" w:hAnsi="Consolas" w:eastAsia="Consolas"/>
          <w:color w:val="176B87"/>
          <w:sz w:val="18"/>
        </w:rPr>
        <w:t>status=ok</w:t>
      </w:r>
      <w:r>
        <w:rPr>
          <w:rFonts w:ascii="Microsoft YaHei" w:hAnsi="Microsoft YaHei" w:eastAsia="Microsoft YaHei"/>
          <w:sz w:val="20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首页刷新后没有“连接失败”；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演示控制台能显示环境、数据库、数据源和飞书状态。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失败时记录：</w:t>
      </w:r>
      <w:r>
        <w:rPr>
          <w:rFonts w:ascii="Microsoft YaHei" w:hAnsi="Microsoft YaHei" w:eastAsia="Microsoft YaHei"/>
          <w:sz w:val="20"/>
        </w:rPr>
        <w:t xml:space="preserve"> 浏览器错误码、</w:t>
      </w:r>
      <w:r>
        <w:rPr>
          <w:rFonts w:ascii="Consolas" w:hAnsi="Consolas" w:eastAsia="Consolas"/>
          <w:color w:val="176B87"/>
          <w:sz w:val="18"/>
        </w:rPr>
        <w:t>logs/local-service.log</w:t>
      </w:r>
      <w:r>
        <w:rPr>
          <w:rFonts w:ascii="Microsoft YaHei" w:hAnsi="Microsoft YaHei" w:eastAsia="Microsoft YaHei"/>
          <w:sz w:val="20"/>
        </w:rPr>
        <w:t xml:space="preserve"> 最后 100 行、发生时间。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T02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总决赛首页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目的：</w:t>
      </w:r>
      <w:r>
        <w:rPr>
          <w:rFonts w:ascii="Microsoft YaHei" w:hAnsi="Microsoft YaHei" w:eastAsia="Microsoft YaHei"/>
          <w:sz w:val="20"/>
        </w:rPr>
        <w:t xml:space="preserve"> 确认首页能在 30 秒内讲清项目。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打开首页；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查看“发现机会、判断项目、处理风险与行动”三个区域；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查看四层架构和七分钟路线；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点击“刷新”。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默认显示“总决赛”，而不是旧工作台；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机会数量、主案例三项评分、数据时间和状态可见；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刷新后页面不跳回其他模块；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页面明确区分已接入来源和候选来源。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T03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首页一句话入口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目的：</w:t>
      </w:r>
      <w:r>
        <w:rPr>
          <w:rFonts w:ascii="Microsoft YaHei" w:hAnsi="Microsoft YaHei" w:eastAsia="Microsoft YaHei"/>
          <w:sz w:val="20"/>
        </w:rPr>
        <w:t xml:space="preserve"> 确认普通人不需要记住菜单位置。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  <w:r>
        <w:rPr>
          <w:rFonts w:ascii="Microsoft YaHei" w:hAnsi="Microsoft YaHei" w:eastAsia="Microsoft YaHei"/>
          <w:sz w:val="20"/>
        </w:rPr>
        <w:t xml:space="preserve"> 分别输入并提交：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 xml:space="preserve">1. </w:t>
      </w:r>
      <w:r>
        <w:rPr>
          <w:rFonts w:ascii="Consolas" w:hAnsi="Consolas" w:eastAsia="Consolas"/>
          <w:color w:val="176B87"/>
          <w:sz w:val="18"/>
        </w:rPr>
        <w:t>查看北京服务器机会</w:t>
      </w:r>
      <w:r>
        <w:rPr>
          <w:rFonts w:ascii="Microsoft YaHei" w:hAnsi="Microsoft YaHei" w:eastAsia="Microsoft YaHei"/>
          <w:sz w:val="20"/>
        </w:rPr>
        <w:t>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 xml:space="preserve">2. </w:t>
      </w:r>
      <w:r>
        <w:rPr>
          <w:rFonts w:ascii="Consolas" w:hAnsi="Consolas" w:eastAsia="Consolas"/>
          <w:color w:val="176B87"/>
          <w:sz w:val="18"/>
        </w:rPr>
        <w:t>核验合作方风险</w:t>
      </w:r>
      <w:r>
        <w:rPr>
          <w:rFonts w:ascii="Microsoft YaHei" w:hAnsi="Microsoft YaHei" w:eastAsia="Microsoft YaHei"/>
          <w:sz w:val="20"/>
        </w:rPr>
        <w:t>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 xml:space="preserve">3. </w:t>
      </w:r>
      <w:r>
        <w:rPr>
          <w:rFonts w:ascii="Consolas" w:hAnsi="Consolas" w:eastAsia="Consolas"/>
          <w:color w:val="176B87"/>
          <w:sz w:val="18"/>
        </w:rPr>
        <w:t>打开全国态势</w:t>
      </w:r>
      <w:r>
        <w:rPr>
          <w:rFonts w:ascii="Microsoft YaHei" w:hAnsi="Microsoft YaHei" w:eastAsia="Microsoft YaHei"/>
          <w:sz w:val="20"/>
        </w:rPr>
        <w:t>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 xml:space="preserve">4. </w:t>
      </w:r>
      <w:r>
        <w:rPr>
          <w:rFonts w:ascii="Consolas" w:hAnsi="Consolas" w:eastAsia="Consolas"/>
          <w:color w:val="176B87"/>
          <w:sz w:val="18"/>
        </w:rPr>
        <w:t>开始答辩训练</w:t>
      </w:r>
      <w:r>
        <w:rPr>
          <w:rFonts w:ascii="Microsoft YaHei" w:hAnsi="Microsoft YaHei" w:eastAsia="Microsoft YaHei"/>
          <w:sz w:val="20"/>
        </w:rPr>
        <w:t>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机会查询进入检索工作台并保留输入；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合作方风险进入企业尽调；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全国态势进入战情图；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答辩训练进入训练中心。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T04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全国机会雷达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顶部“机会”。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在国内、全球或其他可选范围间切换；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选择一个地区；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查看品类热度、最近新增和来源状态；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打开一条机会。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地图数字与列表数量能够对应；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每条机会显示来源和时间；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数据源故障显示为降级或异常，不会全部伪装成健康；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点击机会能够进入项目页。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T05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检索工作台与自然语言解析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“更多工具 &gt; 检索工作台”。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 xml:space="preserve">1. 输入 </w:t>
      </w:r>
      <w:r>
        <w:rPr>
          <w:rFonts w:ascii="Consolas" w:hAnsi="Consolas" w:eastAsia="Consolas"/>
          <w:color w:val="176B87"/>
          <w:sz w:val="18"/>
        </w:rPr>
        <w:t>最近3个月上海服务器招标信息</w:t>
      </w:r>
      <w:r>
        <w:rPr>
          <w:rFonts w:ascii="Microsoft YaHei" w:hAnsi="Microsoft YaHei" w:eastAsia="Microsoft YaHei"/>
          <w:sz w:val="20"/>
        </w:rPr>
        <w:t>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查看系统识别的时间、地区、关键词和范围；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运行检索；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查看结果、来源和报告入口。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条件解析正确，可在运行前检查；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结果不是空白占位符；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每条结果能看到来源；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报告生成失败时有明确错误，不会显示假成功。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T06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项目列表与投标数字孪生（方向一）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顶部“项目”。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找到 ARM 服务器主案例；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打开项目；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查看机会价值、企业匹配度、投标准备度；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展开评分解释、风险、下一步动作和时间线。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三项评分都有构成和解释；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项目来源、截止时间、要求、证据和任务汇总在同一档案；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页面不把分数当作自动投标决定；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变化后可形成新的快照或时间线事件。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T07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证据显微镜（方向二）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项目页中的“证据显微镜”。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选择一条技术或资格要求；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查看支持证据、反驳证据和缺口；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查看原文位置、来源状态和不同角色意见；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只在演示数据中尝试“确认、驳回、补证或来源不可用”。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证据能回到具体原文；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支持和反驳不会混成一个结论；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人工操作追加审计记录，不覆盖旧记录；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来源失效时保留历史证据和失效说明。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T08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公告变更影响（方向三）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项目页“变更影响”。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查看最新变更轮次；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比较变更前后字段；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查看受影响的要求、任务、证据和负责人；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在演示数据中确认一项行动。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技术参数、日期等变化分开显示；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未变化的要求不会被错误标红；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影响行动有状态、负责人和审计；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重复同步不会创建重复飞书消息或任务。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T09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智能拆标与履约作战图（方向四）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项目页“要求与作战图”。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查看要求树；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选择一条要求并查看原文；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尝试拆分、合并或人工确认一条演示要求；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查看交付物、负责人、截止时间、红线和报价计划；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5. 导出作战图。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要求覆盖技术、资格、商务、交付和评分等类别；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拆分与合并保留历史；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任务能回到原要求；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导出文件可打开且内容与页面一致。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T10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企业能力护照与匹配矩阵（方向五）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项目页“能力护照”。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查看要求与企业能力的逐项匹配；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检查“满足、部分满足、缺证、过期、冲突”等状态；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查看证书、案例、人员、产品等能力证据；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为一个缺口创建演示行动。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相近型号不会自动拼成完全满足；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过期证书要求复核；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缺口行动进入作战任务；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项目快照保留当时使用的能力版本。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T11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可质询多角色会审（方向六）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项目页“会审”。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选择一条要求；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启动或打开已有会审；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查看商务、技术、法务、风险等角色意见；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查看一致事实和分歧；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5. 在演示数据中完成人工裁决。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每个角色有独立结论和证据；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单个角色失败不阻断全部结果，可单独重试；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分歧不会被模型自动抹平；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最终裁决记录操作者和原因。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T12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可解释投标决策沙盘（方向七）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项目页“决策沙盘”。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建立一个“截止提前三天”方案；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建立一个“增加合作伙伴”方案；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复算并比较两方案；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查看得分变化、风险和建议；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5. 不点击“提升为正式计划”，除非使用演示数据。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每项分数变化都有规则解释；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不确定条件显示边界；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模拟结果不改变正式项目；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只有人工确认后才能进入正式计划。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T13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一键飞书投标战情室（方向八）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项目页“战情室”或顶部“协作”。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先查看现有战情室状态；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检查群、台账、任务、日历和回写步骤；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确认每一步的外部 ID、状态和错误信息；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仅在演示项目中测试失败步骤重试。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已完成步骤不会重复创建；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单步失败可以恢复；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Web 状态与飞书回执对应；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公告变更只推送增量；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真实飞书链接可以打开。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T14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企业投标记忆体（方向九）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顶部“协作”，选择空间后点击“生成记忆图谱”。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查看成功材料、失败教训、过期资产和关系图；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打开一条推荐，查看推荐原因；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检查过期或撤回资产；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在演示数据中对一条推荐确认或拒绝。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推荐能解释来自哪个历史项目；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过期、撤回或权限受限资产不会直接复用；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人工反馈形成新版本和审计；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不同工作空间的数据相互隔离。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T15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数据源可信度地图（方向十）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“更多工具 &gt; 数据源”，也可从机会雷达查看。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查看全部来源；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按健康、降级、异常区分；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 xml:space="preserve">3. 打开 </w:t>
      </w:r>
      <w:r>
        <w:rPr>
          <w:rFonts w:ascii="Consolas" w:hAnsi="Consolas" w:eastAsia="Consolas"/>
          <w:color w:val="176B87"/>
          <w:sz w:val="18"/>
        </w:rPr>
        <w:t>ccgp</w:t>
      </w:r>
      <w:r>
        <w:rPr>
          <w:rFonts w:ascii="Microsoft YaHei" w:hAnsi="Microsoft YaHei" w:eastAsia="Microsoft YaHei"/>
          <w:sz w:val="20"/>
        </w:rPr>
        <w:t>、</w:t>
      </w:r>
      <w:r>
        <w:rPr>
          <w:rFonts w:ascii="Consolas" w:hAnsi="Consolas" w:eastAsia="Consolas"/>
          <w:color w:val="176B87"/>
          <w:sz w:val="18"/>
        </w:rPr>
        <w:t>adb</w:t>
      </w:r>
      <w:r>
        <w:rPr>
          <w:rFonts w:ascii="Microsoft YaHei" w:hAnsi="Microsoft YaHei" w:eastAsia="Microsoft YaHei"/>
          <w:sz w:val="20"/>
        </w:rPr>
        <w:t xml:space="preserve"> 和一个健康来源；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查看最近成功时间、错误和可靠性。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应看到 16 个配置来源；</w:t>
      </w:r>
    </w:p>
    <w:p>
      <w:pPr>
        <w:pStyle w:val="ListBullet"/>
      </w:pPr>
      <w:r>
        <w:rPr>
          <w:rFonts w:ascii="Consolas" w:hAnsi="Consolas" w:eastAsia="Consolas"/>
          <w:color w:val="176B87"/>
          <w:sz w:val="18"/>
        </w:rPr>
        <w:t>ccgp</w:t>
      </w:r>
      <w:r>
        <w:rPr>
          <w:rFonts w:ascii="Microsoft YaHei" w:hAnsi="Microsoft YaHei" w:eastAsia="Microsoft YaHei"/>
          <w:sz w:val="20"/>
        </w:rPr>
        <w:t xml:space="preserve"> 直连受限时会自动切换本机浏览器抓取，最新采集应能返回公告；</w:t>
      </w:r>
    </w:p>
    <w:p>
      <w:pPr>
        <w:pStyle w:val="ListBullet"/>
      </w:pPr>
      <w:r>
        <w:rPr>
          <w:rFonts w:ascii="Consolas" w:hAnsi="Consolas" w:eastAsia="Consolas"/>
          <w:color w:val="176B87"/>
          <w:sz w:val="18"/>
        </w:rPr>
        <w:t>adb</w:t>
      </w:r>
      <w:r>
        <w:rPr>
          <w:rFonts w:ascii="Microsoft YaHei" w:hAnsi="Microsoft YaHei" w:eastAsia="Microsoft YaHei"/>
          <w:sz w:val="20"/>
        </w:rPr>
        <w:t xml:space="preserve"> 直连受 Cloudflare 限制时会切换公开网页阅读中继，记录中保留 ADB 官方文件链接和 </w:t>
      </w:r>
      <w:r>
        <w:rPr>
          <w:rFonts w:ascii="Consolas" w:hAnsi="Consolas" w:eastAsia="Consolas"/>
          <w:color w:val="176B87"/>
          <w:sz w:val="18"/>
        </w:rPr>
        <w:t>retrieval_via</w:t>
      </w:r>
      <w:r>
        <w:rPr>
          <w:rFonts w:ascii="Microsoft YaHei" w:hAnsi="Microsoft YaHei" w:eastAsia="Microsoft YaHei"/>
          <w:sz w:val="20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健康状态以最近一次真实采集结果为准，不使用写死的健康数量；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千里马登录态显示可用且保留更新时间；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故障来源不会让已有本地数据消失。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T16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跨来源可信关系图（方向十一）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项目页“来源关系”。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查看公告、附件、变更和结果节点；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查看关系类型与匹配依据；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打开一个字段冲突；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在演示数据中确认或拒绝一条候选关系。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确定关系和相似关系有不同状态；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低置信候选不会自动合并；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冲突字段完整保留；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人工判断持久化，并出现在数字孪生时间线。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T17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可复算业务价值实验室（方向十二）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“更多工具 &gt; 评测与价值”。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查看业务价值实验室；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选择一个任务类型；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阅读配对实验协议和指标公式；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录入一条演示测量，或只查看受控夹具；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5. 查看结果是否区分正式样本和夹具。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能记录机器等待、人工有效时间、总耗时、遗漏、错误满足和返工；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公式可以从原始记录复算；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样本不足时不外推总体收益；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当前正式有效样本为 0 时，页面不能宣称已提效百分比。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T18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评委现场挑战（方向十三）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“更多工具 &gt; 评委挑战”。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输入一个地区、品类和时间条件；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开始现场挑战；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查看耗时、结果数量和来源；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尝试联网补充；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5. 查看挑战历史。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本地真实数据先返回；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来源和时间可见；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联网失败不清空本地结果；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查询条件、耗时和结果自动保存；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取消操作能停止当前挑战。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T19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演示可靠性与真实回放（方向十四）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“更多工具 &gt; 演示控制台”。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查看主案例、备选案例和回放案例；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执行环境预检；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打开每个案例；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建立一次彩排记录；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5. 模拟断网后查看回放标识。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主案例和备选案例可打开；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快照显示采集时间和校验值；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回放明确标为 REPLAY，不冒充实时；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三种模式可以切换；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彩排结果可回查。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T20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统一视觉、状态语言与动效（方向十五）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任意主页面，并在演示控制台执行视觉验收。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对比项目、证据、变更、战情室和来源页面；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检查通过、注意、阻断、信息和人工复核状态；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缩小浏览器宽度到手机大小；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开启系统“减少动态效果”；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5. 使用大屏或全屏展示。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同一状态在不同页面颜色和用词一致；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文字仍能表达状态，不只依赖颜色；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窄屏不出现关键按钮被遮挡；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减少动态效果后内容仍完整；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投屏时主要数字和结论可读。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T21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合作方全景尽调（方向十六）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顶部“企业”。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选择工作空间和合作方；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查看主体消歧结果；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查看六维画像、风险解释和证据；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发起一个证据追问；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5. 查看关系、复核、订阅和任务；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6. 仅在演示数据中测试同步飞书任务。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同名企业不会未经确认自动合并；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每条风险有证据、有效期和状态；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缺证会生成补证建议；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敏感材料受工作空间权限保护；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工商核验在无授权接口时显示人工核验边界。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T22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实时商机战情图（方向十七）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顶部“战情图”。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切换国内和全球范围；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分别开关机会、结果、业务流和外部事件图层；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打开一个 USGS 外部事件；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查看项目或业务流影响候选；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5. 在演示数据中确认或拒绝一个影响候选；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6. 切换回放模式。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地图与列表同步；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外部事件显示来源、许可和采集时间；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外部事件存在不等于项目已经受影响；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影响候选有规则、距离或业务关系解释；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人工复核后状态变化；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断网时回放仍可使用并明确标识。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T23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情景训练与智能问答（方向十八）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顶部“训练”。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选择一个批准场景；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建立“准备模式”会话；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开始训练并回答一题；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查看证据要求和评分；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5. 再建立“学习模式”会话并请求提示；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6. 查看回放和团队准备度。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训练按六阶段推进；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准备模式不提前给答案；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学习模式提供分层提示；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评分能按维度复算，并指出证据缺口；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训练内容不写回正式项目决策；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当前没有真实参与者时，团队准备度明确显示样本不足。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T24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协作空间、组织记忆和飞书连接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顶部“协作”和“更多工具 &gt; 设置”。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在协作页选择工作空间；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查看成员、飞书群和组织记忆；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在设置中打开飞书连接中心；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检查消息、多维表格、任务、日历、卡片和长连接；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5. 如需真实测试，再发送一条测试消息。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飞书总状态为 ready；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长连接为 running；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消息、报告、多维表格、任务、日历和组织协作显示 ready；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“独立智能体应用”标记为可选；未启用时不计作故障，也不影响现有机器人、表格、任务、日历和长连接；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真实测试消息有发送回执和外部消息 ID。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T25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订阅、历史运行、报告与用户记忆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入口：</w:t>
      </w:r>
      <w:r>
        <w:rPr>
          <w:rFonts w:ascii="Microsoft YaHei" w:hAnsi="Microsoft YaHei" w:eastAsia="Microsoft YaHei"/>
          <w:sz w:val="20"/>
        </w:rPr>
        <w:t xml:space="preserve"> “更多工具”。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在订阅管理查看已有订阅；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打开最近一次历史运行；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查看运行阶段、错误、检查点和报告；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下载一个报告；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5. 打开用户记忆查看周度建议和反馈入口。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活跃与停用订阅区分清楚；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历史运行能看到状态、时间和失败原因；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下载文件可打开；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用户记忆与组织记忆分开；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反馈不会改写原始历史记录。</w:t>
      </w:r>
    </w:p>
    <w:p>
      <w:pPr>
        <w:pStyle w:val="Heading2"/>
        <w:keepNext/>
      </w:pPr>
      <w:r>
        <w:rPr>
          <w:rFonts w:ascii="Microsoft YaHei" w:hAnsi="Microsoft YaHei" w:eastAsia="Microsoft YaHei"/>
          <w:sz w:val="20"/>
        </w:rPr>
        <w:t xml:space="preserve">T26 </w:t>
      </w:r>
      <w:r>
        <w:rPr>
          <w:rFonts w:ascii="Consolas" w:hAnsi="Consolas" w:eastAsia="Consolas"/>
          <w:color w:val="176B87"/>
          <w:sz w:val="18"/>
        </w:rPr>
        <w:t>□</w:t>
      </w:r>
      <w:r>
        <w:rPr>
          <w:rFonts w:ascii="Microsoft YaHei" w:hAnsi="Microsoft YaHei" w:eastAsia="Microsoft YaHei"/>
          <w:sz w:val="20"/>
        </w:rPr>
        <w:t xml:space="preserve"> 失败降级与恢复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目的：</w:t>
      </w:r>
      <w:r>
        <w:rPr>
          <w:rFonts w:ascii="Microsoft YaHei" w:hAnsi="Microsoft YaHei" w:eastAsia="Microsoft YaHei"/>
          <w:sz w:val="20"/>
        </w:rPr>
        <w:t xml:space="preserve"> 确认外部来源或网络故障不会拖垮全部系统。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步骤：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1. 在数据源页打开一个降级或异常来源；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2. 查看机会雷达是否仍有本地结果；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3. 在演示控制台切换回放；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4. 检查飞书发送失败时是否保留重试入口；</w:t>
      </w:r>
    </w:p>
    <w:p>
      <w:pPr>
        <w:ind w:left="369" w:hanging="369"/>
      </w:pPr>
      <w:r>
        <w:rPr>
          <w:rFonts w:ascii="Microsoft YaHei" w:hAnsi="Microsoft YaHei" w:eastAsia="Microsoft YaHei"/>
          <w:sz w:val="20"/>
        </w:rPr>
        <w:t>5. 恢复网络后刷新状态。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7324D"/>
          <w:sz w:val="20"/>
        </w:rPr>
        <w:t>预期结果：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故障被隔离到对应来源或步骤；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已有本地数据仍可查询；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回放可继续演示且有明显标识；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失败操作保留错误和重试，不显示假成功；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恢复后状态和时间更新。</w:t>
      </w:r>
    </w:p>
    <w:p>
      <w:pPr>
        <w:pStyle w:val="Heading1"/>
      </w:pPr>
      <w:r>
        <w:rPr>
          <w:rFonts w:ascii="Microsoft YaHei" w:hAnsi="Microsoft YaHei" w:eastAsia="Microsoft YaHei"/>
          <w:sz w:val="20"/>
        </w:rPr>
        <w:t>四、完整验收记录表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680"/>
            <w:vAlign w:val="center"/>
            <w:shd w:fill="17324D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608"/>
            <w:vAlign w:val="center"/>
            <w:shd w:fill="17324D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1134"/>
            <w:vAlign w:val="center"/>
            <w:shd w:fill="17324D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4819"/>
            <w:vAlign w:val="center"/>
            <w:shd w:fill="17324D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实际现象或问题编号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T01</w:t>
            </w:r>
          </w:p>
        </w:tc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服务与环境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T02</w:t>
            </w:r>
          </w:p>
        </w:tc>
        <w:tc>
          <w:tcPr>
            <w:tcW w:type="dxa" w:w="2608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总决赛首页</w:t>
            </w:r>
          </w:p>
        </w:tc>
        <w:tc>
          <w:tcPr>
            <w:tcW w:type="dxa" w:w="1134"/>
            <w:vAlign w:val="center"/>
            <w:shd w:fill="F4F7F9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  <w:shd w:fill="F4F7F9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T03</w:t>
            </w:r>
          </w:p>
        </w:tc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一句话入口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T04</w:t>
            </w:r>
          </w:p>
        </w:tc>
        <w:tc>
          <w:tcPr>
            <w:tcW w:type="dxa" w:w="2608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机会雷达</w:t>
            </w:r>
          </w:p>
        </w:tc>
        <w:tc>
          <w:tcPr>
            <w:tcW w:type="dxa" w:w="1134"/>
            <w:vAlign w:val="center"/>
            <w:shd w:fill="F4F7F9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  <w:shd w:fill="F4F7F9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T05</w:t>
            </w:r>
          </w:p>
        </w:tc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检索工作台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T06</w:t>
            </w:r>
          </w:p>
        </w:tc>
        <w:tc>
          <w:tcPr>
            <w:tcW w:type="dxa" w:w="2608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投标数字孪生</w:t>
            </w:r>
          </w:p>
        </w:tc>
        <w:tc>
          <w:tcPr>
            <w:tcW w:type="dxa" w:w="1134"/>
            <w:vAlign w:val="center"/>
            <w:shd w:fill="F4F7F9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  <w:shd w:fill="F4F7F9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T07</w:t>
            </w:r>
          </w:p>
        </w:tc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证据显微镜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T08</w:t>
            </w:r>
          </w:p>
        </w:tc>
        <w:tc>
          <w:tcPr>
            <w:tcW w:type="dxa" w:w="2608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公告变更影响</w:t>
            </w:r>
          </w:p>
        </w:tc>
        <w:tc>
          <w:tcPr>
            <w:tcW w:type="dxa" w:w="1134"/>
            <w:vAlign w:val="center"/>
            <w:shd w:fill="F4F7F9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  <w:shd w:fill="F4F7F9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T09</w:t>
            </w:r>
          </w:p>
        </w:tc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智能拆标与作战图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T10</w:t>
            </w:r>
          </w:p>
        </w:tc>
        <w:tc>
          <w:tcPr>
            <w:tcW w:type="dxa" w:w="2608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企业能力护照</w:t>
            </w:r>
          </w:p>
        </w:tc>
        <w:tc>
          <w:tcPr>
            <w:tcW w:type="dxa" w:w="1134"/>
            <w:vAlign w:val="center"/>
            <w:shd w:fill="F4F7F9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  <w:shd w:fill="F4F7F9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T11</w:t>
            </w:r>
          </w:p>
        </w:tc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多角色会审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T12</w:t>
            </w:r>
          </w:p>
        </w:tc>
        <w:tc>
          <w:tcPr>
            <w:tcW w:type="dxa" w:w="2608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投标决策沙盘</w:t>
            </w:r>
          </w:p>
        </w:tc>
        <w:tc>
          <w:tcPr>
            <w:tcW w:type="dxa" w:w="1134"/>
            <w:vAlign w:val="center"/>
            <w:shd w:fill="F4F7F9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  <w:shd w:fill="F4F7F9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T13</w:t>
            </w:r>
          </w:p>
        </w:tc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飞书投标战情室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T14</w:t>
            </w:r>
          </w:p>
        </w:tc>
        <w:tc>
          <w:tcPr>
            <w:tcW w:type="dxa" w:w="2608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企业投标记忆体</w:t>
            </w:r>
          </w:p>
        </w:tc>
        <w:tc>
          <w:tcPr>
            <w:tcW w:type="dxa" w:w="1134"/>
            <w:vAlign w:val="center"/>
            <w:shd w:fill="F4F7F9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  <w:shd w:fill="F4F7F9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T15</w:t>
            </w:r>
          </w:p>
        </w:tc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数据源可信度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T16</w:t>
            </w:r>
          </w:p>
        </w:tc>
        <w:tc>
          <w:tcPr>
            <w:tcW w:type="dxa" w:w="2608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跨来源关系图</w:t>
            </w:r>
          </w:p>
        </w:tc>
        <w:tc>
          <w:tcPr>
            <w:tcW w:type="dxa" w:w="1134"/>
            <w:vAlign w:val="center"/>
            <w:shd w:fill="F4F7F9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  <w:shd w:fill="F4F7F9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T17</w:t>
            </w:r>
          </w:p>
        </w:tc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业务价值实验室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T18</w:t>
            </w:r>
          </w:p>
        </w:tc>
        <w:tc>
          <w:tcPr>
            <w:tcW w:type="dxa" w:w="2608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评委现场挑战</w:t>
            </w:r>
          </w:p>
        </w:tc>
        <w:tc>
          <w:tcPr>
            <w:tcW w:type="dxa" w:w="1134"/>
            <w:vAlign w:val="center"/>
            <w:shd w:fill="F4F7F9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  <w:shd w:fill="F4F7F9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T19</w:t>
            </w:r>
          </w:p>
        </w:tc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演示可靠性与回放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T20</w:t>
            </w:r>
          </w:p>
        </w:tc>
        <w:tc>
          <w:tcPr>
            <w:tcW w:type="dxa" w:w="2608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视觉、状态与动效</w:t>
            </w:r>
          </w:p>
        </w:tc>
        <w:tc>
          <w:tcPr>
            <w:tcW w:type="dxa" w:w="1134"/>
            <w:vAlign w:val="center"/>
            <w:shd w:fill="F4F7F9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  <w:shd w:fill="F4F7F9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T21</w:t>
            </w:r>
          </w:p>
        </w:tc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合作方尽调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T22</w:t>
            </w:r>
          </w:p>
        </w:tc>
        <w:tc>
          <w:tcPr>
            <w:tcW w:type="dxa" w:w="2608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实时商机战情图</w:t>
            </w:r>
          </w:p>
        </w:tc>
        <w:tc>
          <w:tcPr>
            <w:tcW w:type="dxa" w:w="1134"/>
            <w:vAlign w:val="center"/>
            <w:shd w:fill="F4F7F9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  <w:shd w:fill="F4F7F9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T23</w:t>
            </w:r>
          </w:p>
        </w:tc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情景训练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T24</w:t>
            </w:r>
          </w:p>
        </w:tc>
        <w:tc>
          <w:tcPr>
            <w:tcW w:type="dxa" w:w="2608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协作与飞书</w:t>
            </w:r>
          </w:p>
        </w:tc>
        <w:tc>
          <w:tcPr>
            <w:tcW w:type="dxa" w:w="1134"/>
            <w:vAlign w:val="center"/>
            <w:shd w:fill="F4F7F9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  <w:shd w:fill="F4F7F9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T25</w:t>
            </w:r>
          </w:p>
        </w:tc>
        <w:tc>
          <w:tcPr>
            <w:tcW w:type="dxa" w:w="2608"/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订阅、历史、报告、记忆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</w:tcPr>
          <w:p>
            <w:pPr>
              <w:spacing w:after="40"/>
            </w:pPr>
          </w:p>
        </w:tc>
      </w:tr>
      <w:tr>
        <w:tc>
          <w:tcPr>
            <w:tcW w:type="dxa" w:w="680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T26</w:t>
            </w:r>
          </w:p>
        </w:tc>
        <w:tc>
          <w:tcPr>
            <w:tcW w:type="dxa" w:w="2608"/>
            <w:vAlign w:val="center"/>
            <w:shd w:fill="F4F7F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16"/>
              </w:rPr>
              <w:t>失败降级与恢复</w:t>
            </w:r>
          </w:p>
        </w:tc>
        <w:tc>
          <w:tcPr>
            <w:tcW w:type="dxa" w:w="1134"/>
            <w:vAlign w:val="center"/>
            <w:shd w:fill="F4F7F9"/>
          </w:tcPr>
          <w:p>
            <w:pPr>
              <w:spacing w:after="40"/>
            </w:pPr>
          </w:p>
        </w:tc>
        <w:tc>
          <w:tcPr>
            <w:tcW w:type="dxa" w:w="4819"/>
            <w:vAlign w:val="center"/>
            <w:shd w:fill="F4F7F9"/>
          </w:tcPr>
          <w:p>
            <w:pPr>
              <w:spacing w:after="40"/>
            </w:pP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sz w:val="20"/>
        </w:rPr>
        <w:t>五、发现问题时这样反馈</w:t>
      </w:r>
    </w:p>
    <w:p>
      <w:r>
        <w:rPr>
          <w:rFonts w:ascii="Microsoft YaHei" w:hAnsi="Microsoft YaHei" w:eastAsia="Microsoft YaHei"/>
          <w:sz w:val="20"/>
        </w:rPr>
        <w:t>请复制下面模板，一次只写一个问题：</w:t>
      </w:r>
    </w:p>
    <w:p>
      <w:pPr>
        <w:keepLines/>
        <w:spacing w:before="40" w:after="140"/>
        <w:ind w:left="283" w:right="283"/>
        <w:keepLines/>
        <w:shd w:fill="EDF1F3"/>
      </w:pPr>
      <w:r>
        <w:rPr>
          <w:rFonts w:ascii="Consolas" w:hAnsi="Consolas" w:eastAsia="Consolas"/>
          <w:sz w:val="16"/>
        </w:rPr>
        <w:t>问题编号：例如 T07-01</w:t>
        <w:br/>
        <w:t>测试项：例如 T07 证据显微镜</w:t>
        <w:br/>
        <w:t>发生时间：</w:t>
        <w:br/>
        <w:t>使用页面：</w:t>
        <w:br/>
        <w:t>操作步骤：1.  2.  3.</w:t>
        <w:br/>
        <w:t>预期结果：</w:t>
        <w:br/>
        <w:t>实际结果：</w:t>
        <w:br/>
        <w:t>是否每次都出现：是 / 否</w:t>
        <w:br/>
        <w:t>页面提示或错误码：</w:t>
        <w:br/>
        <w:t>相关项目或企业名称：</w:t>
        <w:br/>
        <w:t>是否点击过发送、确认、保存等写入按钮：</w:t>
      </w:r>
    </w:p>
    <w:p>
      <w:r>
        <w:rPr>
          <w:rFonts w:ascii="Microsoft YaHei" w:hAnsi="Microsoft YaHei" w:eastAsia="Microsoft YaHei"/>
          <w:sz w:val="20"/>
        </w:rPr>
        <w:t>如果问题是页面样式，请附截图；如果问题是运行或接口，请再附：</w:t>
      </w:r>
    </w:p>
    <w:p>
      <w:pPr>
        <w:keepLines/>
        <w:spacing w:before="40" w:after="140"/>
        <w:ind w:left="283" w:right="283"/>
        <w:keepLines/>
        <w:shd w:fill="EDF1F3"/>
      </w:pPr>
      <w:r>
        <w:rPr>
          <w:rFonts w:ascii="Consolas" w:hAnsi="Consolas" w:eastAsia="Consolas"/>
          <w:sz w:val="16"/>
        </w:rPr>
        <w:t>Get-Content E:\tt\logs\local-service.log -Tail 100</w:t>
      </w:r>
    </w:p>
    <w:p>
      <w:r>
        <w:rPr>
          <w:rFonts w:ascii="Microsoft YaHei" w:hAnsi="Microsoft YaHei" w:eastAsia="Microsoft YaHei"/>
          <w:sz w:val="20"/>
        </w:rPr>
        <w:t xml:space="preserve">不要在反馈中粘贴飞书 App Secret、API Key、Cookie 或 </w:t>
      </w:r>
      <w:r>
        <w:rPr>
          <w:rFonts w:ascii="Consolas" w:hAnsi="Consolas" w:eastAsia="Consolas"/>
          <w:color w:val="176B87"/>
          <w:sz w:val="18"/>
        </w:rPr>
        <w:t>.env.local</w:t>
      </w:r>
      <w:r>
        <w:rPr>
          <w:rFonts w:ascii="Microsoft YaHei" w:hAnsi="Microsoft YaHei" w:eastAsia="Microsoft YaHei"/>
          <w:sz w:val="20"/>
        </w:rPr>
        <w:t xml:space="preserve"> 内容。</w:t>
      </w:r>
    </w:p>
    <w:p>
      <w:pPr>
        <w:pStyle w:val="Heading1"/>
      </w:pPr>
      <w:r>
        <w:rPr>
          <w:rFonts w:ascii="Microsoft YaHei" w:hAnsi="Microsoft YaHei" w:eastAsia="Microsoft YaHei"/>
          <w:sz w:val="20"/>
        </w:rPr>
        <w:t>六、停止项目</w:t>
      </w:r>
    </w:p>
    <w:p>
      <w:r>
        <w:rPr>
          <w:rFonts w:ascii="Microsoft YaHei" w:hAnsi="Microsoft YaHei" w:eastAsia="Microsoft YaHei"/>
          <w:sz w:val="20"/>
        </w:rPr>
        <w:t>完成体验后如需停止后台服务，执行：</w:t>
      </w:r>
    </w:p>
    <w:p>
      <w:pPr>
        <w:keepLines/>
        <w:spacing w:before="40" w:after="140"/>
        <w:ind w:left="283" w:right="283"/>
        <w:keepLines/>
        <w:shd w:fill="EDF1F3"/>
      </w:pPr>
      <w:r>
        <w:rPr>
          <w:rFonts w:ascii="Consolas" w:hAnsi="Consolas" w:eastAsia="Consolas"/>
          <w:sz w:val="16"/>
        </w:rPr>
        <w:t>.\scripts\stop-local.cmd</w:t>
      </w:r>
    </w:p>
    <w:p>
      <w:r>
        <w:rPr>
          <w:rFonts w:ascii="Microsoft YaHei" w:hAnsi="Microsoft YaHei" w:eastAsia="Microsoft YaHei"/>
          <w:sz w:val="20"/>
        </w:rPr>
        <w:t>正常使用或准备随时演示时，可以让计划任务继续运行。</w:t>
      </w:r>
    </w:p>
    <w:p>
      <w:pPr>
        <w:pStyle w:val="Heading1"/>
      </w:pPr>
      <w:r>
        <w:rPr>
          <w:rFonts w:ascii="Microsoft YaHei" w:hAnsi="Microsoft YaHei" w:eastAsia="Microsoft YaHei"/>
          <w:sz w:val="20"/>
        </w:rPr>
        <w:t>七、验收说明</w:t>
      </w:r>
    </w:p>
    <w:p>
      <w:r>
        <w:rPr>
          <w:rFonts w:ascii="Microsoft YaHei" w:hAnsi="Microsoft YaHei" w:eastAsia="Microsoft YaHei"/>
          <w:sz w:val="20"/>
        </w:rPr>
        <w:t>本指南覆盖首页、既有检索与订阅能力、十八个提升方向、飞书协作、数据源、失败降级和演示可靠性。自动化测试通过只能证明工程行为符合预期，用户仍应按本指南检查文字是否好懂、操作是否顺手、页面是否适合投屏、业务结论是否符合实际。方向十二的正式业务收益和方向十八的团队能力提升，需要真实人员和真实实验记录后才能验收业务效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0717C"/>
        <w:sz w:val="16"/>
      </w:rPr>
      <w:t xml:space="preserve">第 </w:t>
    </w:r>
    <w:r>
      <w:rPr>
        <w:rFonts w:ascii="Microsoft YaHei" w:hAnsi="Microsoft YaHei" w:eastAsia="Microsoft YaHei"/>
        <w:color w:val="60717C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60717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color w:val="60717C"/>
        <w:sz w:val="16"/>
      </w:rPr>
      <w:t>TenderTrace  全功能手动体验与验收指南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Microsoft YaHei" w:hAnsi="Microsoft YaHei" w:eastAsia="Microsoft YaHei"/>
      <w:color w:val="25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A3A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TenderTrace 全功能手动体验与验收指南</dc:title>
  <dc:subject>TenderTrace 本地项目功能体验与逐项验收</dc:subject>
  <dc:creator>TenderTrace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