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 w:eastAsia="Microsoft YaHei"/>
          <w:b/>
          <w:color w:val="000000"/>
          <w:sz w:val="46"/>
        </w:rPr>
        <w:t>TenderTrace 项目开发工作流与阶段计划</w:t>
      </w:r>
    </w:p>
    <w:p>
      <w:pPr>
        <w:spacing w:after="280"/>
      </w:pPr>
      <w:r>
        <w:rPr>
          <w:rFonts w:ascii="Calibri" w:hAnsi="Calibri" w:eastAsia="Microsoft YaHei"/>
          <w:color w:val="555555"/>
          <w:sz w:val="23"/>
        </w:rPr>
        <w:t>基于赛题说明与《标迹TenderTrace技术架构与实现文档》v1.0。计划基准日期：2026-07-04，时区：Asia/Shanghai。</w:t>
      </w:r>
    </w:p>
    <w:p>
      <w:pPr>
        <w:spacing w:after="40"/>
      </w:pPr>
      <w:r>
        <w:rPr>
          <w:rFonts w:ascii="Calibri" w:hAnsi="Calibri" w:eastAsia="Microsoft YaHei"/>
          <w:b/>
          <w:sz w:val="21"/>
        </w:rPr>
        <w:t xml:space="preserve">Status: </w:t>
      </w:r>
      <w:r>
        <w:rPr>
          <w:rFonts w:ascii="Calibri" w:hAnsi="Calibri" w:eastAsia="Microsoft YaHei"/>
          <w:sz w:val="21"/>
        </w:rPr>
        <w:t>Pre-development planning</w:t>
      </w:r>
    </w:p>
    <w:p>
      <w:pPr>
        <w:spacing w:after="40"/>
      </w:pPr>
      <w:r>
        <w:rPr>
          <w:rFonts w:ascii="Calibri" w:hAnsi="Calibri" w:eastAsia="Microsoft YaHei"/>
          <w:b/>
          <w:sz w:val="21"/>
        </w:rPr>
        <w:t xml:space="preserve">Source: </w:t>
      </w:r>
      <w:r>
        <w:rPr>
          <w:rFonts w:ascii="Calibri" w:hAnsi="Calibri" w:eastAsia="Microsoft YaHei"/>
          <w:sz w:val="21"/>
        </w:rPr>
        <w:t>Competition brief + provided architecture document v1.0</w:t>
      </w:r>
    </w:p>
    <w:p>
      <w:pPr>
        <w:spacing w:after="40"/>
      </w:pPr>
      <w:r>
        <w:rPr>
          <w:rFonts w:ascii="Calibri" w:hAnsi="Calibri" w:eastAsia="Microsoft YaHei"/>
          <w:b/>
          <w:sz w:val="21"/>
        </w:rPr>
        <w:t xml:space="preserve">Style: </w:t>
      </w:r>
      <w:r>
        <w:rPr>
          <w:rFonts w:ascii="Calibri" w:hAnsi="Calibri" w:eastAsia="Microsoft YaHei"/>
          <w:sz w:val="21"/>
        </w:rPr>
        <w:t>Stage-gated execution with teaching deliverables</w:t>
      </w:r>
    </w:p>
    <w:p>
      <w:pPr>
        <w:spacing w:after="240"/>
        <w:pBdr>
          <w:bottom w:val="single" w:sz="6" w:space="1" w:color="D7DBE2"/>
        </w:pBdr>
      </w:pPr>
    </w:p>
    <w:p>
      <w:pPr>
        <w:pStyle w:val="Heading2"/>
      </w:pPr>
      <w:r>
        <w:t>1. 我对任务的理解</w:t>
      </w:r>
    </w:p>
    <w:p>
      <w:pPr>
        <w:spacing w:after="120" w:line="300" w:lineRule="auto"/>
      </w:pPr>
      <w:r>
        <w:rPr>
          <w:rFonts w:ascii="Calibri" w:hAnsi="Calibri" w:eastAsia="Microsoft YaHei"/>
          <w:sz w:val="22"/>
        </w:rPr>
        <w:t>本项目不是单纯做一个爬虫，而是做一个可运行、可验证、可持续订阅的招投标情报聚合系统。用户用自然语言描述需求，系统需要解析主题、区域、时间范围和发送频率；没有频率就立即执行，有频率就创建定时任务；每轮执行从至少两个真实互联网来源抓取招投标信息，其中至少一个来源需要登录后才能获取免费会员可见内容；系统完成清洗、筛选、去重、摘要、事实校验后生成 Word 报告。</w:t>
      </w:r>
    </w:p>
    <w:p>
      <w:pPr>
        <w:spacing w:after="120" w:line="300" w:lineRule="auto"/>
      </w:pPr>
      <w:r>
        <w:rPr>
          <w:rFonts w:ascii="Calibri" w:hAnsi="Calibri" w:eastAsia="Microsoft YaHei"/>
          <w:sz w:val="22"/>
        </w:rPr>
        <w:t>最终必须交付四类成果：工具执行后的多个 Word 报告、设计文档、完整代码与操作文档、Demo 演示视频。报告必须包含标题、发布时间、来源链接、核心内容、附件链接；订阅任务必须只推送新增内容；程序不得对结果硬编码。</w:t>
      </w:r>
    </w:p>
    <w:p>
      <w:pPr>
        <w:pStyle w:val="Heading2"/>
      </w:pPr>
      <w:r>
        <w:t>2. 关键假设与待确认点</w:t>
      </w:r>
    </w:p>
    <w:p>
      <w:pPr>
        <w:spacing w:after="120" w:line="300" w:lineRule="auto"/>
      </w:pPr>
      <w:r>
        <w:rPr>
          <w:rFonts w:ascii="Calibri" w:hAnsi="Calibri" w:eastAsia="Microsoft YaHei"/>
          <w:sz w:val="22"/>
        </w:rPr>
        <w:t>为避免在开发中默默猜测，我先把会影响实现的解释写清楚：</w:t>
      </w:r>
    </w:p>
    <w:p>
      <w:pPr>
        <w:pStyle w:val="ListBullet"/>
        <w:spacing w:after="120" w:line="300" w:lineRule="auto"/>
      </w:pPr>
      <w:r>
        <w:rPr>
          <w:rFonts w:ascii="Calibri" w:hAnsi="Calibri" w:eastAsia="Microsoft YaHei"/>
          <w:sz w:val="22"/>
        </w:rPr>
        <w:t>“发送给我”的默认交付先实现为 Web UI 下载 + 本地 outbox 归档；SMTP 邮件作为可配置通道。如果你明确要求企业微信、邮箱或其他渠道，后续在订阅模块追加。</w:t>
      </w:r>
    </w:p>
    <w:p>
      <w:pPr>
        <w:pStyle w:val="ListBullet"/>
        <w:spacing w:after="120" w:line="300" w:lineRule="auto"/>
      </w:pPr>
      <w:r>
        <w:rPr>
          <w:rFonts w:ascii="Calibri" w:hAnsi="Calibri" w:eastAsia="Microsoft YaHei"/>
          <w:sz w:val="22"/>
        </w:rPr>
        <w:t>“最近 N 个月”默认解释为以触发时刻为终点的滚动窗口，并在意图确认卡中展示求值后的具体日期，允许用户修正。</w:t>
      </w:r>
    </w:p>
    <w:p>
      <w:pPr>
        <w:pStyle w:val="ListBullet"/>
        <w:spacing w:after="120" w:line="300" w:lineRule="auto"/>
      </w:pPr>
      <w:r>
        <w:rPr>
          <w:rFonts w:ascii="Calibri" w:hAnsi="Calibri" w:eastAsia="Microsoft YaHei"/>
          <w:sz w:val="22"/>
        </w:rPr>
        <w:t>“今天 9:00 发送”如果当前时间已超过 9:00，则立即生成并在 UI 与报告中标注“指定时刻已过，已即时生成”。</w:t>
      </w:r>
    </w:p>
    <w:p>
      <w:pPr>
        <w:pStyle w:val="ListBullet"/>
        <w:spacing w:after="120" w:line="300" w:lineRule="auto"/>
      </w:pPr>
      <w:r>
        <w:rPr>
          <w:rFonts w:ascii="Calibri" w:hAnsi="Calibri" w:eastAsia="Microsoft YaHei"/>
          <w:sz w:val="22"/>
        </w:rPr>
        <w:t>登录站采用人工登录一次、加密保存 Playwright storage_state 的方式；系统不做验证码识别或绕过。</w:t>
      </w:r>
    </w:p>
    <w:p>
      <w:pPr>
        <w:pStyle w:val="ListBullet"/>
        <w:spacing w:after="120" w:line="300" w:lineRule="auto"/>
      </w:pPr>
      <w:r>
        <w:rPr>
          <w:rFonts w:ascii="Calibri" w:hAnsi="Calibri" w:eastAsia="Microsoft YaHei"/>
          <w:sz w:val="22"/>
        </w:rPr>
        <w:t>LLM 是增强项而不是硬依赖。核心链路必须在无 LLM API 时以规则与确定性算法降级运行；有 LLM 时用于主题泛化、适配器编译和受限润色。</w:t>
      </w:r>
    </w:p>
    <w:p>
      <w:pPr>
        <w:pStyle w:val="ListBullet"/>
        <w:spacing w:after="120" w:line="300" w:lineRule="auto"/>
      </w:pPr>
      <w:r>
        <w:rPr>
          <w:rFonts w:ascii="Calibri" w:hAnsi="Calibri" w:eastAsia="Microsoft YaHei"/>
          <w:sz w:val="22"/>
        </w:rPr>
        <w:t>数据来源以中国政府采购网、省级/全国公共资源交易平台、千里马/采招网/剑鱼标讯等免费可见范围为候选。若某登录站免费权限不足，按统一适配器契约切换备选站。</w:t>
      </w:r>
    </w:p>
    <w:p>
      <w:pPr>
        <w:pStyle w:val="Heading2"/>
      </w:pPr>
      <w:r>
        <w:t>3. 总体成功标准</w:t>
      </w:r>
    </w:p>
    <w:p>
      <w:pPr>
        <w:spacing w:after="120" w:line="300" w:lineRule="auto"/>
      </w:pPr>
      <w:r>
        <w:rPr>
          <w:rFonts w:ascii="Calibri" w:hAnsi="Calibri" w:eastAsia="Microsoft YaHei"/>
          <w:sz w:val="22"/>
        </w:rPr>
        <w:t>项目完成时应达到以下表现：</w:t>
      </w:r>
    </w:p>
    <w:p>
      <w:pPr>
        <w:pStyle w:val="ListBullet"/>
        <w:spacing w:after="120" w:line="300" w:lineRule="auto"/>
      </w:pPr>
      <w:r>
        <w:rPr>
          <w:rFonts w:ascii="Calibri" w:hAnsi="Calibri" w:eastAsia="Microsoft YaHei"/>
          <w:sz w:val="22"/>
        </w:rPr>
        <w:t>输入赛题四类示例问题和评委现场变化问题，系统能解析出正确的主题、区域、时间范围与调度语义。</w:t>
      </w:r>
    </w:p>
    <w:p>
      <w:pPr>
        <w:pStyle w:val="ListBullet"/>
        <w:spacing w:after="120" w:line="300" w:lineRule="auto"/>
      </w:pPr>
      <w:r>
        <w:rPr>
          <w:rFonts w:ascii="Calibri" w:hAnsi="Calibri" w:eastAsia="Microsoft YaHei"/>
          <w:sz w:val="22"/>
        </w:rPr>
        <w:t>至少两个真实来源进入报告，其中至少一个来源通过登录态获取免费会员可见信息。</w:t>
      </w:r>
    </w:p>
    <w:p>
      <w:pPr>
        <w:pStyle w:val="ListBullet"/>
        <w:spacing w:after="120" w:line="300" w:lineRule="auto"/>
      </w:pPr>
      <w:r>
        <w:rPr>
          <w:rFonts w:ascii="Calibri" w:hAnsi="Calibri" w:eastAsia="Microsoft YaHei"/>
          <w:sz w:val="22"/>
        </w:rPr>
        <w:t>报告文件名符合 {用户的问题}_{yyyyMMddHHmm}.docx，非法字符、超长问题、同分钟重复生成都有确定性处理。</w:t>
      </w:r>
    </w:p>
    <w:p>
      <w:pPr>
        <w:pStyle w:val="ListBullet"/>
        <w:spacing w:after="120" w:line="300" w:lineRule="auto"/>
      </w:pPr>
      <w:r>
        <w:rPr>
          <w:rFonts w:ascii="Calibri" w:hAnsi="Calibri" w:eastAsia="Microsoft YaHei"/>
          <w:sz w:val="22"/>
        </w:rPr>
        <w:t>报告逐条包含标题、发布时间、来源链接、核心内容、附件链接；核心内容可回指原文快照，数字、日期、编号可回查。</w:t>
      </w:r>
    </w:p>
    <w:p>
      <w:pPr>
        <w:pStyle w:val="ListBullet"/>
        <w:spacing w:after="120" w:line="300" w:lineRule="auto"/>
      </w:pPr>
      <w:r>
        <w:rPr>
          <w:rFonts w:ascii="Calibri" w:hAnsi="Calibri" w:eastAsia="Microsoft YaHei"/>
          <w:sz w:val="22"/>
        </w:rPr>
        <w:t>重复内容被合并，跨站转载不重复展示；订阅任务连续触发时只输出新增内容，零新增也生成说明报告。</w:t>
      </w:r>
    </w:p>
    <w:p>
      <w:pPr>
        <w:pStyle w:val="ListBullet"/>
        <w:spacing w:after="120" w:line="300" w:lineRule="auto"/>
      </w:pPr>
      <w:r>
        <w:rPr>
          <w:rFonts w:ascii="Calibri" w:hAnsi="Calibri" w:eastAsia="Microsoft YaHei"/>
          <w:sz w:val="22"/>
        </w:rPr>
        <w:t>Trace 记录真实请求 URL、时间戳、响应哈希和 Agent 决策，可向评委证明未硬编码。</w:t>
      </w:r>
    </w:p>
    <w:p>
      <w:pPr>
        <w:pStyle w:val="ListBullet"/>
        <w:spacing w:after="120" w:line="300" w:lineRule="auto"/>
      </w:pPr>
      <w:r>
        <w:rPr>
          <w:rFonts w:ascii="Calibri" w:hAnsi="Calibri" w:eastAsia="Microsoft YaHei"/>
          <w:sz w:val="22"/>
        </w:rPr>
        <w:t>操作文档能让干净环境按步骤安装、运行、验证；Demo 视频覆盖输入到输出的完整流程和多个问题。</w:t>
      </w:r>
    </w:p>
    <w:p>
      <w:pPr>
        <w:pStyle w:val="Heading2"/>
      </w:pPr>
      <w:r>
        <w:t>4. 开发工作流</w:t>
      </w:r>
    </w:p>
    <w:p>
      <w:pPr>
        <w:spacing w:after="120" w:line="300" w:lineRule="auto"/>
      </w:pPr>
      <w:r>
        <w:rPr>
          <w:rFonts w:ascii="Calibri" w:hAnsi="Calibri" w:eastAsia="Microsoft YaHei"/>
          <w:sz w:val="22"/>
        </w:rPr>
        <w:t>每个阶段都按同一套闭环执行：</w:t>
      </w:r>
    </w:p>
    <w:p>
      <w:pPr>
        <w:pStyle w:val="ListNumber"/>
        <w:spacing w:after="120" w:line="300" w:lineRule="auto"/>
      </w:pPr>
      <w:r>
        <w:rPr>
          <w:rFonts w:ascii="Calibri" w:hAnsi="Calibri" w:eastAsia="Microsoft YaHei"/>
          <w:sz w:val="22"/>
        </w:rPr>
        <w:t>明确阶段目标和验收口径。</w:t>
      </w:r>
    </w:p>
    <w:p>
      <w:pPr>
        <w:pStyle w:val="ListNumber"/>
        <w:spacing w:after="120" w:line="300" w:lineRule="auto"/>
      </w:pPr>
      <w:r>
        <w:rPr>
          <w:rFonts w:ascii="Calibri" w:hAnsi="Calibri" w:eastAsia="Microsoft YaHei"/>
          <w:sz w:val="22"/>
        </w:rPr>
        <w:t>写最小测试或评测样例，先定义“什么叫通过”。</w:t>
      </w:r>
    </w:p>
    <w:p>
      <w:pPr>
        <w:pStyle w:val="ListNumber"/>
        <w:spacing w:after="120" w:line="300" w:lineRule="auto"/>
      </w:pPr>
      <w:r>
        <w:rPr>
          <w:rFonts w:ascii="Calibri" w:hAnsi="Calibri" w:eastAsia="Microsoft YaHei"/>
          <w:sz w:val="22"/>
        </w:rPr>
        <w:t>实现最少代码，优先打通主路径，再补失败路径。</w:t>
      </w:r>
    </w:p>
    <w:p>
      <w:pPr>
        <w:pStyle w:val="ListNumber"/>
        <w:spacing w:after="120" w:line="300" w:lineRule="auto"/>
      </w:pPr>
      <w:r>
        <w:rPr>
          <w:rFonts w:ascii="Calibri" w:hAnsi="Calibri" w:eastAsia="Microsoft YaHei"/>
          <w:sz w:val="22"/>
        </w:rPr>
        <w:t>运行单元测试、模块评测或端到端验证。</w:t>
      </w:r>
    </w:p>
    <w:p>
      <w:pPr>
        <w:pStyle w:val="ListNumber"/>
        <w:spacing w:after="120" w:line="300" w:lineRule="auto"/>
      </w:pPr>
      <w:r>
        <w:rPr>
          <w:rFonts w:ascii="Calibri" w:hAnsi="Calibri" w:eastAsia="Microsoft YaHei"/>
          <w:sz w:val="22"/>
        </w:rPr>
        <w:t>生成对应教学文档，解释新增代码的职责、关键数据结构、技术取舍和验证方法。</w:t>
      </w:r>
    </w:p>
    <w:p>
      <w:pPr>
        <w:pStyle w:val="ListNumber"/>
        <w:spacing w:after="120" w:line="300" w:lineRule="auto"/>
      </w:pPr>
      <w:r>
        <w:rPr>
          <w:rFonts w:ascii="Calibri" w:hAnsi="Calibri" w:eastAsia="Microsoft YaHei"/>
          <w:sz w:val="22"/>
        </w:rPr>
        <w:t>更新阶段状态与下一阶段风险。</w:t>
      </w:r>
    </w:p>
    <w:p>
      <w:pPr>
        <w:spacing w:after="120" w:line="300" w:lineRule="auto"/>
      </w:pPr>
      <w:r>
        <w:rPr>
          <w:rFonts w:ascii="Calibri" w:hAnsi="Calibri" w:eastAsia="Microsoft YaHei"/>
          <w:sz w:val="22"/>
        </w:rPr>
        <w:t>代码层面的约束：</w:t>
      </w:r>
    </w:p>
    <w:p>
      <w:pPr>
        <w:pStyle w:val="ListBullet"/>
        <w:spacing w:after="120" w:line="300" w:lineRule="auto"/>
      </w:pPr>
      <w:r>
        <w:rPr>
          <w:rFonts w:ascii="Calibri" w:hAnsi="Calibri" w:eastAsia="Microsoft YaHei"/>
          <w:sz w:val="22"/>
        </w:rPr>
        <w:t>不做未被要求的功能，不提前抽象。</w:t>
      </w:r>
    </w:p>
    <w:p>
      <w:pPr>
        <w:pStyle w:val="ListBullet"/>
        <w:spacing w:after="120" w:line="300" w:lineRule="auto"/>
      </w:pPr>
      <w:r>
        <w:rPr>
          <w:rFonts w:ascii="Calibri" w:hAnsi="Calibri" w:eastAsia="Microsoft YaHei"/>
          <w:sz w:val="22"/>
        </w:rPr>
        <w:t>只改当前阶段必要文件，不顺手重构相邻代码。</w:t>
      </w:r>
    </w:p>
    <w:p>
      <w:pPr>
        <w:pStyle w:val="ListBullet"/>
        <w:spacing w:after="120" w:line="300" w:lineRule="auto"/>
      </w:pPr>
      <w:r>
        <w:rPr>
          <w:rFonts w:ascii="Calibri" w:hAnsi="Calibri" w:eastAsia="Microsoft YaHei"/>
          <w:sz w:val="22"/>
        </w:rPr>
        <w:t>能用确定性代码解决的部分不依赖 LLM。</w:t>
      </w:r>
    </w:p>
    <w:p>
      <w:pPr>
        <w:pStyle w:val="ListBullet"/>
        <w:spacing w:after="120" w:line="300" w:lineRule="auto"/>
      </w:pPr>
      <w:r>
        <w:rPr>
          <w:rFonts w:ascii="Calibri" w:hAnsi="Calibri" w:eastAsia="Microsoft YaHei"/>
          <w:sz w:val="22"/>
        </w:rPr>
        <w:t>所有抓取、筛选、去重、增量逻辑都必须能通过测试或 trace 证明。</w:t>
      </w:r>
    </w:p>
    <w:p>
      <w:pPr>
        <w:pStyle w:val="Heading2"/>
      </w:pPr>
      <w:r>
        <w:t>5. 技术路线基线</w:t>
      </w:r>
    </w:p>
    <w:p>
      <w:pPr>
        <w:spacing w:after="120" w:line="300" w:lineRule="auto"/>
      </w:pPr>
      <w:r>
        <w:rPr>
          <w:rFonts w:ascii="Calibri" w:hAnsi="Calibri" w:eastAsia="Microsoft YaHei"/>
          <w:sz w:val="22"/>
        </w:rPr>
        <w:t>系统形态：FastAPI 后端 + React Web UI + CLI。后端用 SQLite WAL 做持久化，APScheduler 做定时任务，httpx 与 Playwright 做双引擎采集，selectolax/lxml/trafilatura 做解析清洗，python-docx 生成报告。前端通过 SSE 展示 Agent 时间线、意图确认卡、漏斗统计、订阅面板和报告下载。</w:t>
      </w:r>
    </w:p>
    <w:p>
      <w:pPr>
        <w:spacing w:after="120" w:line="300" w:lineRule="auto"/>
      </w:pPr>
      <w:r>
        <w:rPr>
          <w:rFonts w:ascii="Calibri" w:hAnsi="Calibri" w:eastAsia="Microsoft YaHei"/>
          <w:sz w:val="22"/>
        </w:rPr>
        <w:t>核心思想沿用原架构文档：</w:t>
      </w:r>
    </w:p>
    <w:p>
      <w:pPr>
        <w:pStyle w:val="ListBullet"/>
        <w:spacing w:after="120" w:line="300" w:lineRule="auto"/>
      </w:pPr>
      <w:r>
        <w:rPr>
          <w:rFonts w:ascii="Calibri" w:hAnsi="Calibri" w:eastAsia="Microsoft YaHei"/>
          <w:sz w:val="22"/>
        </w:rPr>
        <w:t>BidQL：自然语言编译后的中间表示，保存主题、地区、时间 AST、调度计划和置信度。</w:t>
      </w:r>
    </w:p>
    <w:p>
      <w:pPr>
        <w:pStyle w:val="ListBullet"/>
        <w:spacing w:after="120" w:line="300" w:lineRule="auto"/>
      </w:pPr>
      <w:r>
        <w:rPr>
          <w:rFonts w:ascii="Calibri" w:hAnsi="Calibri" w:eastAsia="Microsoft YaHei"/>
          <w:sz w:val="22"/>
        </w:rPr>
        <w:t>TenderGraph：带检查点的状态图编排器，每个 Agent 是节点，校验失败通过条件边进入修复回路。</w:t>
      </w:r>
    </w:p>
    <w:p>
      <w:pPr>
        <w:pStyle w:val="ListBullet"/>
        <w:spacing w:after="120" w:line="300" w:lineRule="auto"/>
      </w:pPr>
      <w:r>
        <w:rPr>
          <w:rFonts w:ascii="Calibri" w:hAnsi="Calibri" w:eastAsia="Microsoft YaHei"/>
          <w:sz w:val="22"/>
        </w:rPr>
        <w:t>Adapter-as-Code：LLM 只在离线编译适配器时参与，候选选择器必须经过夹具验证后冻结，运行期确定性执行。</w:t>
      </w:r>
    </w:p>
    <w:p>
      <w:pPr>
        <w:pStyle w:val="ListBullet"/>
        <w:spacing w:after="120" w:line="300" w:lineRule="auto"/>
      </w:pPr>
      <w:r>
        <w:rPr>
          <w:rFonts w:ascii="Calibri" w:hAnsi="Calibri" w:eastAsia="Microsoft YaHei"/>
          <w:sz w:val="22"/>
        </w:rPr>
        <w:t>Session Vault：人工登录、加密持久化、健康探针、失效降级提示。</w:t>
      </w:r>
    </w:p>
    <w:p>
      <w:pPr>
        <w:pStyle w:val="ListBullet"/>
        <w:spacing w:after="120" w:line="300" w:lineRule="auto"/>
      </w:pPr>
      <w:r>
        <w:rPr>
          <w:rFonts w:ascii="Calibri" w:hAnsi="Calibri" w:eastAsia="Microsoft YaHei"/>
          <w:sz w:val="22"/>
        </w:rPr>
        <w:t>Evidence Gate：字段和摘要句都带证据 span，事实不确定宁可不写。</w:t>
      </w:r>
    </w:p>
    <w:p>
      <w:pPr>
        <w:pStyle w:val="ListBullet"/>
        <w:spacing w:after="120" w:line="300" w:lineRule="auto"/>
      </w:pPr>
      <w:r>
        <w:rPr>
          <w:rFonts w:ascii="Calibri" w:hAnsi="Calibri" w:eastAsia="Microsoft YaHei"/>
          <w:sz w:val="22"/>
        </w:rPr>
        <w:t>Cluster Ledger：运行内去重与跨运行推送去重分开，订阅账本以项目簇键为幂等主键。</w:t>
      </w:r>
    </w:p>
    <w:p>
      <w:pPr>
        <w:pStyle w:val="Heading2"/>
      </w:pPr>
      <w:r>
        <w:t>6. 阶段计划与验收表现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  <w:tblInd w:w="120" w:type="dxa"/>
      </w:tblPr>
      <w:tblGrid>
        <w:gridCol w:w="1320"/>
        <w:gridCol w:w="1420"/>
        <w:gridCol w:w="2100"/>
        <w:gridCol w:w="2920"/>
        <w:gridCol w:w="1600"/>
      </w:tblGrid>
      <w:tr>
        <w:tc>
          <w:tcPr>
            <w:tcW w:type="dxa" w:w="13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18"/>
              </w:rPr>
              <w:t>阶段</w:t>
            </w:r>
          </w:p>
        </w:tc>
        <w:tc>
          <w:tcPr>
            <w:tcW w:type="dxa" w:w="14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18"/>
              </w:rPr>
              <w:t>目标</w:t>
            </w:r>
          </w:p>
        </w:tc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18"/>
              </w:rPr>
              <w:t>主要产出</w:t>
            </w:r>
          </w:p>
        </w:tc>
        <w:tc>
          <w:tcPr>
            <w:tcW w:type="dxa" w:w="29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18"/>
              </w:rPr>
              <w:t>验收表现</w:t>
            </w:r>
          </w:p>
        </w:tc>
        <w:tc>
          <w:tcPr>
            <w:tcW w:type="dxa" w:w="1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18"/>
              </w:rPr>
              <w:t>教学文档</w:t>
            </w:r>
          </w:p>
        </w:tc>
      </w:tr>
      <w:tr>
        <w:tc>
          <w:tcPr>
            <w:tcW w:type="dxa" w:w="13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sz w:val="17"/>
              </w:rPr>
              <w:t>P0 工程骨架</w:t>
            </w:r>
          </w:p>
        </w:tc>
        <w:tc>
          <w:tcPr>
            <w:tcW w:type="dxa" w:w="14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sz w:val="17"/>
              </w:rPr>
              <w:t>建立可复现的项目底座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sz w:val="17"/>
              </w:rPr>
              <w:t>pyproject、目录结构、配置、数据库初始化、健康检查</w:t>
            </w:r>
          </w:p>
        </w:tc>
        <w:tc>
          <w:tcPr>
            <w:tcW w:type="dxa" w:w="29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sz w:val="17"/>
              </w:rPr>
              <w:t>三条命令可启动健康检查；配置错误启动即失败；SQLite WAL 生效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sz w:val="17"/>
              </w:rPr>
              <w:t>00_工程骨架与配置管理.docx</w:t>
            </w:r>
          </w:p>
        </w:tc>
      </w:tr>
      <w:tr>
        <w:tc>
          <w:tcPr>
            <w:tcW w:type="dxa" w:w="13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sz w:val="17"/>
              </w:rPr>
              <w:t>P1 编排器与事件流</w:t>
            </w:r>
          </w:p>
        </w:tc>
        <w:tc>
          <w:tcPr>
            <w:tcW w:type="dxa" w:w="14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sz w:val="17"/>
              </w:rPr>
              <w:t>把流程做成可回放的状态图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sz w:val="17"/>
              </w:rPr>
              <w:t>TenderGraph、RunState、Checkpointer、EventBus、Trace 表</w:t>
            </w:r>
          </w:p>
        </w:tc>
        <w:tc>
          <w:tcPr>
            <w:tcW w:type="dxa" w:w="29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sz w:val="17"/>
              </w:rPr>
              <w:t>空跑图输出 node_started/tool_called/node_finished；中断后可从检查点恢复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sz w:val="17"/>
              </w:rPr>
              <w:t>01_TenderGraph状态图编排器.docx</w:t>
            </w:r>
          </w:p>
        </w:tc>
      </w:tr>
      <w:tr>
        <w:tc>
          <w:tcPr>
            <w:tcW w:type="dxa" w:w="13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sz w:val="17"/>
              </w:rPr>
              <w:t>P2 意图编译器</w:t>
            </w:r>
          </w:p>
        </w:tc>
        <w:tc>
          <w:tcPr>
            <w:tcW w:type="dxa" w:w="14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sz w:val="17"/>
              </w:rPr>
              <w:t>自然语言转 BidQL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sz w:val="17"/>
              </w:rPr>
              <w:t>时间文法、行政区划、调度解析、LLM 通道接口、仲裁器</w:t>
            </w:r>
          </w:p>
        </w:tc>
        <w:tc>
          <w:tcPr>
            <w:tcW w:type="dxa" w:w="29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sz w:val="17"/>
              </w:rPr>
              <w:t>赛题四例解析正确；相对/绝对时间在不同触发日期下求值正确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sz w:val="17"/>
              </w:rPr>
              <w:t>02_BidQL意图解析与时间AST.docx</w:t>
            </w:r>
          </w:p>
        </w:tc>
      </w:tr>
      <w:tr>
        <w:tc>
          <w:tcPr>
            <w:tcW w:type="dxa" w:w="13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sz w:val="17"/>
              </w:rPr>
              <w:t>P3 首个公开源闭环</w:t>
            </w:r>
          </w:p>
        </w:tc>
        <w:tc>
          <w:tcPr>
            <w:tcW w:type="dxa" w:w="14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sz w:val="17"/>
              </w:rPr>
              <w:t>先形成最小端到端能力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sz w:val="17"/>
              </w:rPr>
              <w:t>中国政府采购网适配器、源规划、最小 Word 报告</w:t>
            </w:r>
          </w:p>
        </w:tc>
        <w:tc>
          <w:tcPr>
            <w:tcW w:type="dxa" w:w="29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sz w:val="17"/>
              </w:rPr>
              <w:t>输入一个问题后抓取真实 URL，产出命名合规且五要素齐备的 Word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sz w:val="17"/>
              </w:rPr>
              <w:t>03_HTTP采集适配器与首份报告.docx</w:t>
            </w:r>
          </w:p>
        </w:tc>
      </w:tr>
      <w:tr>
        <w:tc>
          <w:tcPr>
            <w:tcW w:type="dxa" w:w="13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sz w:val="17"/>
              </w:rPr>
              <w:t>P4 第二公开源与适配器注册</w:t>
            </w:r>
          </w:p>
        </w:tc>
        <w:tc>
          <w:tcPr>
            <w:tcW w:type="dxa" w:w="14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sz w:val="17"/>
              </w:rPr>
              <w:t>满足多来源基础要求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sz w:val="17"/>
              </w:rPr>
              <w:t>省级/全国公共资源交易平台适配器、注册中心、夹具验证</w:t>
            </w:r>
          </w:p>
        </w:tc>
        <w:tc>
          <w:tcPr>
            <w:tcW w:type="dxa" w:w="29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sz w:val="17"/>
              </w:rPr>
              <w:t>报告出现两个来源；适配器夹具验证失败时禁止上线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sz w:val="17"/>
              </w:rPr>
              <w:t>04_Adapter-as-Code与多源规划.docx</w:t>
            </w:r>
          </w:p>
        </w:tc>
      </w:tr>
      <w:tr>
        <w:tc>
          <w:tcPr>
            <w:tcW w:type="dxa" w:w="13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sz w:val="17"/>
              </w:rPr>
              <w:t>P5 登录站与会话金库</w:t>
            </w:r>
          </w:p>
        </w:tc>
        <w:tc>
          <w:tcPr>
            <w:tcW w:type="dxa" w:w="14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sz w:val="17"/>
              </w:rPr>
              <w:t>满足至少一个登录来源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sz w:val="17"/>
              </w:rPr>
              <w:t>Playwright 登录命令、storage_state 加密保存、健康探针、登录源适配器</w:t>
            </w:r>
          </w:p>
        </w:tc>
        <w:tc>
          <w:tcPr>
            <w:tcW w:type="dxa" w:w="29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sz w:val="17"/>
              </w:rPr>
              <w:t>重启后登录态复用；会话失效时单源降级且其他源继续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sz w:val="17"/>
              </w:rPr>
              <w:t>05_登录态管理与浏览器采集.docx</w:t>
            </w:r>
          </w:p>
        </w:tc>
      </w:tr>
      <w:tr>
        <w:tc>
          <w:tcPr>
            <w:tcW w:type="dxa" w:w="13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sz w:val="17"/>
              </w:rPr>
              <w:t>P6 清洗与结构化抽取</w:t>
            </w:r>
          </w:p>
        </w:tc>
        <w:tc>
          <w:tcPr>
            <w:tcW w:type="dxa" w:w="14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sz w:val="17"/>
              </w:rPr>
              <w:t>从网页变成干净公告对象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sz w:val="17"/>
              </w:rPr>
              <w:t>噪声清洗、正文密度兜底、字段抽取链、附件提取、字段 span</w:t>
            </w:r>
          </w:p>
        </w:tc>
        <w:tc>
          <w:tcPr>
            <w:tcW w:type="dxa" w:w="29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sz w:val="17"/>
              </w:rPr>
              <w:t>20+ 详情页夹具字段准确率达标；清洗后正文无关键事实丢失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sz w:val="17"/>
              </w:rPr>
              <w:t>06_网页清洗与字段抽取.docx</w:t>
            </w:r>
          </w:p>
        </w:tc>
      </w:tr>
      <w:tr>
        <w:tc>
          <w:tcPr>
            <w:tcW w:type="dxa" w:w="13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sz w:val="17"/>
              </w:rPr>
              <w:t>P7 去重与实体归并</w:t>
            </w:r>
          </w:p>
        </w:tc>
        <w:tc>
          <w:tcPr>
            <w:tcW w:type="dxa" w:w="14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sz w:val="17"/>
              </w:rPr>
              <w:t>解决转载和同项目多来源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sz w:val="17"/>
              </w:rPr>
              <w:t>URL 规范化、SimHash64、标题相似度、业务键 Union-Find</w:t>
            </w:r>
          </w:p>
        </w:tc>
        <w:tc>
          <w:tcPr>
            <w:tcW w:type="dxa" w:w="29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sz w:val="17"/>
              </w:rPr>
              <w:t>去重金标集 P/R 达标；报告中同项目多来源合并展示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sz w:val="17"/>
              </w:rPr>
              <w:t>07_SimHash与项目簇归并.docx</w:t>
            </w:r>
          </w:p>
        </w:tc>
      </w:tr>
      <w:tr>
        <w:tc>
          <w:tcPr>
            <w:tcW w:type="dxa" w:w="13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sz w:val="17"/>
              </w:rPr>
              <w:t>P8 证据链与事实闸门</w:t>
            </w:r>
          </w:p>
        </w:tc>
        <w:tc>
          <w:tcPr>
            <w:tcW w:type="dxa" w:w="14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sz w:val="17"/>
              </w:rPr>
              <w:t>让核心内容可验证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sz w:val="17"/>
              </w:rPr>
              <w:t>快照存证、硬约束校验、数字/日期/编号回查、证据回看接口</w:t>
            </w:r>
          </w:p>
        </w:tc>
        <w:tc>
          <w:tcPr>
            <w:tcW w:type="dxa" w:w="29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sz w:val="17"/>
              </w:rPr>
              <w:t>随机抽检 10 条可从报告回到快照证据；事实回查目标 100%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sz w:val="17"/>
              </w:rPr>
              <w:t>08_证据链与事实一致性校验.docx</w:t>
            </w:r>
          </w:p>
        </w:tc>
      </w:tr>
      <w:tr>
        <w:tc>
          <w:tcPr>
            <w:tcW w:type="dxa" w:w="13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sz w:val="17"/>
              </w:rPr>
              <w:t>P9 摘要与报告引擎强化</w:t>
            </w:r>
          </w:p>
        </w:tc>
        <w:tc>
          <w:tcPr>
            <w:tcW w:type="dxa" w:w="14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sz w:val="17"/>
              </w:rPr>
              <w:t>生成可读且合规的 Word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sz w:val="17"/>
              </w:rPr>
              <w:t>抽取式摘要、可选受限润色、报告模板、文件命名边界处理</w:t>
            </w:r>
          </w:p>
        </w:tc>
        <w:tc>
          <w:tcPr>
            <w:tcW w:type="dxa" w:w="29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sz w:val="17"/>
              </w:rPr>
              <w:t>含问号、超长、同分钟重复问题都生成合法文件名；零附件时表达清晰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sz w:val="17"/>
              </w:rPr>
              <w:t>09_摘要生成与Word报告引擎.docx</w:t>
            </w:r>
          </w:p>
        </w:tc>
      </w:tr>
      <w:tr>
        <w:tc>
          <w:tcPr>
            <w:tcW w:type="dxa" w:w="13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sz w:val="17"/>
              </w:rPr>
              <w:t>P10 调度与增量账本</w:t>
            </w:r>
          </w:p>
        </w:tc>
        <w:tc>
          <w:tcPr>
            <w:tcW w:type="dxa" w:w="14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sz w:val="17"/>
              </w:rPr>
              <w:t>实现 immediate/once_at/recurring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sz w:val="17"/>
              </w:rPr>
              <w:t>APScheduler、订阅表、push_ledger、水位线、手动触发</w:t>
            </w:r>
          </w:p>
        </w:tc>
        <w:tc>
          <w:tcPr>
            <w:tcW w:type="dxa" w:w="29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sz w:val="17"/>
              </w:rPr>
              <w:t>同一订阅连跑两次，第二份报告只含新增或显示零新增；账本零重复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sz w:val="17"/>
              </w:rPr>
              <w:t>10_定时任务与增量推送账本.docx</w:t>
            </w:r>
          </w:p>
        </w:tc>
      </w:tr>
      <w:tr>
        <w:tc>
          <w:tcPr>
            <w:tcW w:type="dxa" w:w="13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sz w:val="17"/>
              </w:rPr>
              <w:t>P11 Web UI 与 SSE</w:t>
            </w:r>
          </w:p>
        </w:tc>
        <w:tc>
          <w:tcPr>
            <w:tcW w:type="dxa" w:w="14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sz w:val="17"/>
              </w:rPr>
              <w:t>让完整流程可演示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sz w:val="17"/>
              </w:rPr>
              <w:t>React 输入页、意图确认卡、Agent 时间线、漏斗、订阅面板、下载入口</w:t>
            </w:r>
          </w:p>
        </w:tc>
        <w:tc>
          <w:tcPr>
            <w:tcW w:type="dxa" w:w="29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sz w:val="17"/>
              </w:rPr>
              <w:t>90 秒内能展示输入、解析、抓取、报告下载和订阅状态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sz w:val="17"/>
              </w:rPr>
              <w:t>11_前端交互与实时事件流.docx</w:t>
            </w:r>
          </w:p>
        </w:tc>
      </w:tr>
      <w:tr>
        <w:tc>
          <w:tcPr>
            <w:tcW w:type="dxa" w:w="13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sz w:val="17"/>
              </w:rPr>
              <w:t>P12 修复 Agent 与评测 Harness</w:t>
            </w:r>
          </w:p>
        </w:tc>
        <w:tc>
          <w:tcPr>
            <w:tcW w:type="dxa" w:w="14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sz w:val="17"/>
              </w:rPr>
              <w:t>提升稳定性与反硬编码说服力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sz w:val="17"/>
              </w:rPr>
              <w:t>修复策略表、cassette 录制回放、eval all、指标报告</w:t>
            </w:r>
          </w:p>
        </w:tc>
        <w:tc>
          <w:tcPr>
            <w:tcW w:type="dxa" w:w="29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sz w:val="17"/>
              </w:rPr>
              <w:t>冷门主题触发修复回路；断网回放能跑；trace 可展示真实请求证据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sz w:val="17"/>
              </w:rPr>
              <w:t>12_自校正循环与评测体系.docx</w:t>
            </w:r>
          </w:p>
        </w:tc>
      </w:tr>
      <w:tr>
        <w:tc>
          <w:tcPr>
            <w:tcW w:type="dxa" w:w="13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sz w:val="17"/>
              </w:rPr>
              <w:t>P13 集成交付</w:t>
            </w:r>
          </w:p>
        </w:tc>
        <w:tc>
          <w:tcPr>
            <w:tcW w:type="dxa" w:w="14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sz w:val="17"/>
              </w:rPr>
              <w:t>收口四类交付物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sz w:val="17"/>
              </w:rPr>
              <w:t>详设文档、操作文档、Demo 脚本、最终回归、视频素材清单</w:t>
            </w:r>
          </w:p>
        </w:tc>
        <w:tc>
          <w:tcPr>
            <w:tcW w:type="dxa" w:w="29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sz w:val="17"/>
              </w:rPr>
              <w:t>赛题四类问题全部跑通；操作文档能在干净环境复现；交付物齐备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sz w:val="17"/>
              </w:rPr>
              <w:t>13_端到端联调与交付复盘.docx</w:t>
            </w:r>
          </w:p>
        </w:tc>
      </w:tr>
    </w:tbl>
    <w:p>
      <w:pPr>
        <w:spacing w:after="40"/>
      </w:pPr>
    </w:p>
    <w:p>
      <w:pPr>
        <w:pStyle w:val="Heading2"/>
      </w:pPr>
      <w:r>
        <w:t>7. 教学文档机制</w:t>
      </w:r>
    </w:p>
    <w:p>
      <w:pPr>
        <w:spacing w:after="120" w:line="300" w:lineRule="auto"/>
      </w:pPr>
      <w:r>
        <w:rPr>
          <w:rFonts w:ascii="Calibri" w:hAnsi="Calibri" w:eastAsia="Microsoft YaHei"/>
          <w:sz w:val="22"/>
        </w:rPr>
        <w:t>后续每写完一个阶段，我会额外生成一个教学 Word，结构固定：</w:t>
      </w:r>
    </w:p>
    <w:p>
      <w:pPr>
        <w:pStyle w:val="ListBullet"/>
        <w:spacing w:after="120" w:line="300" w:lineRule="auto"/>
      </w:pPr>
      <w:r>
        <w:rPr>
          <w:rFonts w:ascii="Calibri" w:hAnsi="Calibri" w:eastAsia="Microsoft YaHei"/>
          <w:sz w:val="22"/>
        </w:rPr>
        <w:t>本阶段要解决的问题：先讲业务目标，再讲技术目标。</w:t>
      </w:r>
    </w:p>
    <w:p>
      <w:pPr>
        <w:pStyle w:val="ListBullet"/>
        <w:spacing w:after="120" w:line="300" w:lineRule="auto"/>
      </w:pPr>
      <w:r>
        <w:rPr>
          <w:rFonts w:ascii="Calibri" w:hAnsi="Calibri" w:eastAsia="Microsoft YaHei"/>
          <w:sz w:val="22"/>
        </w:rPr>
        <w:t>源码地图：列出本阶段新增或修改的文件，每个文件一句话职责。</w:t>
      </w:r>
    </w:p>
    <w:p>
      <w:pPr>
        <w:pStyle w:val="ListBullet"/>
        <w:spacing w:after="120" w:line="300" w:lineRule="auto"/>
      </w:pPr>
      <w:r>
        <w:rPr>
          <w:rFonts w:ascii="Calibri" w:hAnsi="Calibri" w:eastAsia="Microsoft YaHei"/>
          <w:sz w:val="22"/>
        </w:rPr>
        <w:t>核心代码逐段解析：按函数或类拆解，说明输入、输出、关键状态变化和边界条件。</w:t>
      </w:r>
    </w:p>
    <w:p>
      <w:pPr>
        <w:pStyle w:val="ListBullet"/>
        <w:spacing w:after="120" w:line="300" w:lineRule="auto"/>
      </w:pPr>
      <w:r>
        <w:rPr>
          <w:rFonts w:ascii="Calibri" w:hAnsi="Calibri" w:eastAsia="Microsoft YaHei"/>
          <w:sz w:val="22"/>
        </w:rPr>
        <w:t>技术取舍：解释为什么这样写，以及为什么没有采用更复杂的方案。</w:t>
      </w:r>
    </w:p>
    <w:p>
      <w:pPr>
        <w:pStyle w:val="ListBullet"/>
        <w:spacing w:after="120" w:line="300" w:lineRule="auto"/>
      </w:pPr>
      <w:r>
        <w:rPr>
          <w:rFonts w:ascii="Calibri" w:hAnsi="Calibri" w:eastAsia="Microsoft YaHei"/>
          <w:sz w:val="22"/>
        </w:rPr>
        <w:t>验证方法：列出命令、测试数据、预期输出和常见失败现象。</w:t>
      </w:r>
    </w:p>
    <w:p>
      <w:pPr>
        <w:pStyle w:val="ListBullet"/>
        <w:spacing w:after="120" w:line="300" w:lineRule="auto"/>
      </w:pPr>
      <w:r>
        <w:rPr>
          <w:rFonts w:ascii="Calibri" w:hAnsi="Calibri" w:eastAsia="Microsoft YaHei"/>
          <w:sz w:val="22"/>
        </w:rPr>
        <w:t>扩展思考：给你补充相关工程知识，例如 AST、状态机、SimHash、Playwright 登录态、SSE、APScheduler 幂等。</w:t>
      </w:r>
    </w:p>
    <w:p>
      <w:pPr>
        <w:spacing w:after="120" w:line="300" w:lineRule="auto"/>
      </w:pPr>
      <w:r>
        <w:rPr>
          <w:rFonts w:ascii="Calibri" w:hAnsi="Calibri" w:eastAsia="Microsoft YaHei"/>
          <w:sz w:val="22"/>
        </w:rPr>
        <w:t>教学文档不替代代码注释。代码注释只解释难读或关键约束；教学文档负责把代码讲透。</w:t>
      </w:r>
    </w:p>
    <w:p>
      <w:pPr>
        <w:pStyle w:val="Heading2"/>
      </w:pPr>
      <w:r>
        <w:t>8. 测试与评测安排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  <w:tblInd w:w="120" w:type="dxa"/>
      </w:tblPr>
      <w:tblGrid>
        <w:gridCol w:w="2160"/>
        <w:gridCol w:w="3600"/>
        <w:gridCol w:w="3600"/>
      </w:tblGrid>
      <w:tr>
        <w:tc>
          <w:tcPr>
            <w:tcW w:type="dxa" w:w="2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18"/>
              </w:rPr>
              <w:t>类型</w:t>
            </w:r>
          </w:p>
        </w:tc>
        <w:tc>
          <w:tcPr>
            <w:tcW w:type="dxa" w:w="3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18"/>
              </w:rPr>
              <w:t>覆盖内容</w:t>
            </w:r>
          </w:p>
        </w:tc>
        <w:tc>
          <w:tcPr>
            <w:tcW w:type="dxa" w:w="3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18"/>
              </w:rPr>
              <w:t>通过标准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sz w:val="17"/>
              </w:rPr>
              <w:t>单元测试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sz w:val="17"/>
              </w:rPr>
              <w:t>时间解析、地区识别、文件命名、URL 规范化、SimHash、账本幂等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sz w:val="17"/>
              </w:rPr>
              <w:t>关键纯函数全覆盖，边界样例明确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sz w:val="17"/>
              </w:rPr>
              <w:t>夹具测试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sz w:val="17"/>
              </w:rPr>
              <w:t>列表页、详情页、附件链接、登录站样本脱敏回放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sz w:val="17"/>
              </w:rPr>
              <w:t>字段级准确率达标，选择器漂移能被发现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sz w:val="17"/>
              </w:rPr>
              <w:t>模块评测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sz w:val="17"/>
              </w:rPr>
              <w:t>intent、extract、dedup、faithfulness、incremental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sz w:val="17"/>
              </w:rPr>
              <w:t>输出结构化指标，失败样例可定位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sz w:val="17"/>
              </w:rPr>
              <w:t>端到端测试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sz w:val="17"/>
              </w:rPr>
              <w:t>赛题四类问题、随机省份主题、订阅二次触发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sz w:val="17"/>
              </w:rPr>
              <w:t>能生成真实报告，增量不重复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sz w:val="17"/>
              </w:rPr>
              <w:t>演示验证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sz w:val="17"/>
              </w:rPr>
              <w:t>Web UI、CLI、断网 cassette、trace 证据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sz w:val="17"/>
              </w:rPr>
              <w:t>评委能看见完整链路和非硬编码证据</w:t>
            </w:r>
          </w:p>
        </w:tc>
      </w:tr>
    </w:tbl>
    <w:p>
      <w:pPr>
        <w:spacing w:after="40"/>
      </w:pPr>
    </w:p>
    <w:p>
      <w:pPr>
        <w:pStyle w:val="Heading2"/>
      </w:pPr>
      <w:r>
        <w:t>9. 计划文件结构</w:t>
      </w:r>
    </w:p>
    <w:p>
      <w:pPr>
        <w:spacing w:after="120" w:line="300" w:lineRule="auto"/>
      </w:pPr>
      <w:r>
        <w:rPr>
          <w:rFonts w:ascii="Calibri" w:hAnsi="Calibri" w:eastAsia="Microsoft YaHei"/>
          <w:sz w:val="22"/>
        </w:rPr>
        <w:t>开发完成后的目录按以下方向组织：</w:t>
      </w:r>
    </w:p>
    <w:p>
      <w:pPr>
        <w:spacing w:after="0"/>
        <w:ind w:left="259"/>
      </w:pPr>
      <w:r>
        <w:rPr>
          <w:rFonts w:ascii="Consolas" w:hAnsi="Consolas" w:eastAsia="Microsoft YaHei"/>
          <w:color w:val="333333"/>
          <w:sz w:val="17"/>
        </w:rPr>
        <w:t>tendertrace/</w:t>
      </w:r>
    </w:p>
    <w:p>
      <w:pPr>
        <w:spacing w:after="0"/>
        <w:ind w:left="259"/>
      </w:pPr>
      <w:r>
        <w:rPr>
          <w:rFonts w:ascii="Consolas" w:hAnsi="Consolas" w:eastAsia="Microsoft YaHei"/>
          <w:color w:val="333333"/>
          <w:sz w:val="17"/>
        </w:rPr>
        <w:t xml:space="preserve">  runtime/        # TenderGraph、状态、检查点、事件流、trace</w:t>
      </w:r>
    </w:p>
    <w:p>
      <w:pPr>
        <w:spacing w:after="0"/>
        <w:ind w:left="259"/>
      </w:pPr>
      <w:r>
        <w:rPr>
          <w:rFonts w:ascii="Consolas" w:hAnsi="Consolas" w:eastAsia="Microsoft YaHei"/>
          <w:color w:val="333333"/>
          <w:sz w:val="17"/>
        </w:rPr>
        <w:t xml:space="preserve">  agents/         # intent、source_planner、collector、extract_clean、dedup、verify、repair、report、subscriber</w:t>
      </w:r>
    </w:p>
    <w:p>
      <w:pPr>
        <w:spacing w:after="0"/>
        <w:ind w:left="259"/>
      </w:pPr>
      <w:r>
        <w:rPr>
          <w:rFonts w:ascii="Consolas" w:hAnsi="Consolas" w:eastAsia="Microsoft YaHei"/>
          <w:color w:val="333333"/>
          <w:sz w:val="17"/>
        </w:rPr>
        <w:t xml:space="preserve">  adapters/       # registry、compiler、contracts、http/browser executors</w:t>
      </w:r>
    </w:p>
    <w:p>
      <w:pPr>
        <w:spacing w:after="0"/>
        <w:ind w:left="259"/>
      </w:pPr>
      <w:r>
        <w:rPr>
          <w:rFonts w:ascii="Consolas" w:hAnsi="Consolas" w:eastAsia="Microsoft YaHei"/>
          <w:color w:val="333333"/>
          <w:sz w:val="17"/>
        </w:rPr>
        <w:t xml:space="preserve">  intent/         # grammar、region、resolver、arbiter、llm_channel</w:t>
      </w:r>
    </w:p>
    <w:p>
      <w:pPr>
        <w:spacing w:after="0"/>
        <w:ind w:left="259"/>
      </w:pPr>
      <w:r>
        <w:rPr>
          <w:rFonts w:ascii="Consolas" w:hAnsi="Consolas" w:eastAsia="Microsoft YaHei"/>
          <w:color w:val="333333"/>
          <w:sz w:val="17"/>
        </w:rPr>
        <w:t xml:space="preserve">  pipeline/       # cleaning、simhash、cluster、faithfulness、summarize</w:t>
      </w:r>
    </w:p>
    <w:p>
      <w:pPr>
        <w:spacing w:after="0"/>
        <w:ind w:left="259"/>
      </w:pPr>
      <w:r>
        <w:rPr>
          <w:rFonts w:ascii="Consolas" w:hAnsi="Consolas" w:eastAsia="Microsoft YaHei"/>
          <w:color w:val="333333"/>
          <w:sz w:val="17"/>
        </w:rPr>
        <w:t xml:space="preserve">  vault/          # session_vault、probes</w:t>
      </w:r>
    </w:p>
    <w:p>
      <w:pPr>
        <w:spacing w:after="0"/>
        <w:ind w:left="259"/>
      </w:pPr>
      <w:r>
        <w:rPr>
          <w:rFonts w:ascii="Consolas" w:hAnsi="Consolas" w:eastAsia="Microsoft YaHei"/>
          <w:color w:val="333333"/>
          <w:sz w:val="17"/>
        </w:rPr>
        <w:t xml:space="preserve">  scheduling/     # jobs、ledger、watermark</w:t>
      </w:r>
    </w:p>
    <w:p>
      <w:pPr>
        <w:spacing w:after="0"/>
        <w:ind w:left="259"/>
      </w:pPr>
      <w:r>
        <w:rPr>
          <w:rFonts w:ascii="Consolas" w:hAnsi="Consolas" w:eastAsia="Microsoft YaHei"/>
          <w:color w:val="333333"/>
          <w:sz w:val="17"/>
        </w:rPr>
        <w:t xml:space="preserve">  report/         # docx_writer、naming</w:t>
      </w:r>
    </w:p>
    <w:p>
      <w:pPr>
        <w:spacing w:after="0"/>
        <w:ind w:left="259"/>
      </w:pPr>
      <w:r>
        <w:rPr>
          <w:rFonts w:ascii="Consolas" w:hAnsi="Consolas" w:eastAsia="Microsoft YaHei"/>
          <w:color w:val="333333"/>
          <w:sz w:val="17"/>
        </w:rPr>
        <w:t xml:space="preserve">  evals/          # goldsets、fixtures、cassettes、harness</w:t>
      </w:r>
    </w:p>
    <w:p>
      <w:pPr>
        <w:spacing w:after="0"/>
        <w:ind w:left="259"/>
      </w:pPr>
      <w:r>
        <w:rPr>
          <w:rFonts w:ascii="Consolas" w:hAnsi="Consolas" w:eastAsia="Microsoft YaHei"/>
          <w:color w:val="333333"/>
          <w:sz w:val="17"/>
        </w:rPr>
        <w:t xml:space="preserve">  app/            # FastAPI、SSE、静态前端</w:t>
      </w:r>
    </w:p>
    <w:p>
      <w:pPr>
        <w:spacing w:after="0"/>
        <w:ind w:left="259"/>
      </w:pPr>
      <w:r>
        <w:rPr>
          <w:rFonts w:ascii="Consolas" w:hAnsi="Consolas" w:eastAsia="Microsoft YaHei"/>
          <w:color w:val="333333"/>
          <w:sz w:val="17"/>
        </w:rPr>
        <w:t>web/              # React 源码</w:t>
      </w:r>
    </w:p>
    <w:p>
      <w:pPr>
        <w:spacing w:after="0"/>
        <w:ind w:left="259"/>
      </w:pPr>
      <w:r>
        <w:rPr>
          <w:rFonts w:ascii="Consolas" w:hAnsi="Consolas" w:eastAsia="Microsoft YaHei"/>
          <w:color w:val="333333"/>
          <w:sz w:val="17"/>
        </w:rPr>
        <w:t>docs/</w:t>
      </w:r>
    </w:p>
    <w:p>
      <w:pPr>
        <w:spacing w:after="0"/>
        <w:ind w:left="259"/>
      </w:pPr>
      <w:r>
        <w:rPr>
          <w:rFonts w:ascii="Consolas" w:hAnsi="Consolas" w:eastAsia="Microsoft YaHei"/>
          <w:color w:val="333333"/>
          <w:sz w:val="17"/>
        </w:rPr>
        <w:t xml:space="preserve">  design/         # 详设文档</w:t>
      </w:r>
    </w:p>
    <w:p>
      <w:pPr>
        <w:spacing w:after="0"/>
        <w:ind w:left="259"/>
      </w:pPr>
      <w:r>
        <w:rPr>
          <w:rFonts w:ascii="Consolas" w:hAnsi="Consolas" w:eastAsia="Microsoft YaHei"/>
          <w:color w:val="333333"/>
          <w:sz w:val="17"/>
        </w:rPr>
        <w:t xml:space="preserve">  operation/      # 操作文档</w:t>
      </w:r>
    </w:p>
    <w:p>
      <w:pPr>
        <w:spacing w:after="0"/>
        <w:ind w:left="259"/>
      </w:pPr>
      <w:r>
        <w:rPr>
          <w:rFonts w:ascii="Consolas" w:hAnsi="Consolas" w:eastAsia="Microsoft YaHei"/>
          <w:color w:val="333333"/>
          <w:sz w:val="17"/>
        </w:rPr>
        <w:t xml:space="preserve">  teaching/       # 阶段教学 Word</w:t>
      </w:r>
    </w:p>
    <w:p>
      <w:pPr>
        <w:spacing w:after="0"/>
        <w:ind w:left="259"/>
      </w:pPr>
      <w:r>
        <w:rPr>
          <w:rFonts w:ascii="Consolas" w:hAnsi="Consolas" w:eastAsia="Microsoft YaHei"/>
          <w:color w:val="333333"/>
          <w:sz w:val="17"/>
        </w:rPr>
        <w:t>outputs/          # 工具生成的报告</w:t>
      </w:r>
    </w:p>
    <w:p>
      <w:pPr>
        <w:spacing w:after="0"/>
        <w:ind w:left="259"/>
      </w:pPr>
      <w:r>
        <w:rPr>
          <w:rFonts w:ascii="Consolas" w:hAnsi="Consolas" w:eastAsia="Microsoft YaHei"/>
          <w:color w:val="333333"/>
          <w:sz w:val="17"/>
        </w:rPr>
        <w:t>snapshots/        # HTML/截图证据</w:t>
      </w:r>
    </w:p>
    <w:p>
      <w:pPr>
        <w:spacing w:after="0"/>
        <w:ind w:left="259"/>
      </w:pPr>
      <w:r>
        <w:rPr>
          <w:rFonts w:ascii="Consolas" w:hAnsi="Consolas" w:eastAsia="Microsoft YaHei"/>
          <w:color w:val="333333"/>
          <w:sz w:val="17"/>
        </w:rPr>
        <w:t>secrets/          # 加密登录态，本地不入仓</w:t>
      </w:r>
    </w:p>
    <w:p>
      <w:pPr>
        <w:spacing w:after="0"/>
        <w:ind w:left="259"/>
      </w:pPr>
      <w:r>
        <w:rPr>
          <w:rFonts w:ascii="Consolas" w:hAnsi="Consolas" w:eastAsia="Microsoft YaHei"/>
          <w:color w:val="333333"/>
          <w:sz w:val="17"/>
        </w:rPr>
        <w:t>data/             # SQLite 数据库</w:t>
      </w:r>
    </w:p>
    <w:p>
      <w:pPr>
        <w:spacing w:after="40"/>
      </w:pPr>
    </w:p>
    <w:p>
      <w:pPr>
        <w:pStyle w:val="Heading2"/>
      </w:pPr>
      <w:r>
        <w:t>10. 立即下一步</w:t>
      </w:r>
    </w:p>
    <w:p>
      <w:pPr>
        <w:spacing w:after="120" w:line="300" w:lineRule="auto"/>
      </w:pPr>
      <w:r>
        <w:rPr>
          <w:rFonts w:ascii="Calibri" w:hAnsi="Calibri" w:eastAsia="Microsoft YaHei"/>
          <w:sz w:val="22"/>
        </w:rPr>
        <w:t>下一轮正式开工建议从 P0 开始，目标不是写很多代码，而是在最短路径内得到一个可启动、可建表、可健康检查、可跑测试的工程底座。P0 完成后立刻进入 P1，把事件流和状态图跑通；P2 后就可以解析赛题输入；P3 形成第一份真实 Word 报告，项目进入可演示状态。</w:t>
      </w:r>
    </w:p>
    <w:p>
      <w:pPr>
        <w:spacing w:after="120" w:line="300" w:lineRule="auto"/>
      </w:pPr>
      <w:r>
        <w:rPr>
          <w:rFonts w:ascii="Calibri" w:hAnsi="Calibri" w:eastAsia="Microsoft YaHei"/>
          <w:sz w:val="22"/>
        </w:rPr>
        <w:t>开工前最好确认三项，但它们不阻塞 P0 到 P3：</w:t>
      </w:r>
    </w:p>
    <w:p>
      <w:pPr>
        <w:pStyle w:val="ListBullet"/>
        <w:spacing w:after="120" w:line="300" w:lineRule="auto"/>
      </w:pPr>
      <w:r>
        <w:rPr>
          <w:rFonts w:ascii="Calibri" w:hAnsi="Calibri" w:eastAsia="Microsoft YaHei"/>
          <w:sz w:val="22"/>
        </w:rPr>
        <w:t>是否需要真实邮件发送，还是本地 outbox + UI 下载即可满足初版。</w:t>
      </w:r>
    </w:p>
    <w:p>
      <w:pPr>
        <w:pStyle w:val="ListBullet"/>
        <w:spacing w:after="120" w:line="300" w:lineRule="auto"/>
      </w:pPr>
      <w:r>
        <w:rPr>
          <w:rFonts w:ascii="Calibri" w:hAnsi="Calibri" w:eastAsia="Microsoft YaHei"/>
          <w:sz w:val="22"/>
        </w:rPr>
        <w:t>登录站优先使用哪个免费会员账号或站点。</w:t>
      </w:r>
    </w:p>
    <w:p>
      <w:pPr>
        <w:pStyle w:val="ListBullet"/>
        <w:spacing w:after="120" w:line="300" w:lineRule="auto"/>
      </w:pPr>
      <w:r>
        <w:rPr>
          <w:rFonts w:ascii="Calibri" w:hAnsi="Calibri" w:eastAsia="Microsoft YaHei"/>
          <w:sz w:val="22"/>
        </w:rPr>
        <w:t>是否提供 OpenAI 兼容 LLM Key；如果没有，我会先按离线规则通道开发。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 w:eastAsia="Microsoft YaHei"/>
        <w:color w:val="555555"/>
        <w:sz w:val="18"/>
      </w:rPr>
      <w:t>Generated for TenderTrace planning workflow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Calibri" w:hAnsi="Calibri" w:eastAsia="Microsoft YaHei"/>
        <w:color w:val="555555"/>
        <w:sz w:val="18"/>
      </w:rPr>
      <w:t>TenderTrace Implementation Plan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TenderTrace 项目开发工作流与阶段计划</dc:title>
  <dc:subject>TenderTrace project implementation workflow and stage plan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