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Aquário: Documento de Especificação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Huanna Raquel do Nascimento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Karen Esbaile Malzoni Rodrigues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Fioretti de Moura Teixeira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Leticia Oliveira Camargo Tavares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Maldonado Truzzi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Limeira, Abril de 2017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508000</wp:posOffset>
                </wp:positionV>
                <wp:extent cx="2159000" cy="419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66182" y="3572673"/>
                          <a:ext cx="2159634" cy="414654"/>
                        </a:xfrm>
                        <a:custGeom>
                          <a:pathLst>
                            <a:path extrusionOk="0" h="414655" w="2159635">
                              <a:moveTo>
                                <a:pt x="0" y="0"/>
                              </a:moveTo>
                              <a:lnTo>
                                <a:pt x="0" y="414655"/>
                              </a:lnTo>
                              <a:lnTo>
                                <a:pt x="2159635" y="414655"/>
                              </a:lnTo>
                              <a:lnTo>
                                <a:pt x="2159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508000</wp:posOffset>
                </wp:positionV>
                <wp:extent cx="2159000" cy="4191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Histórico de Revisão</w:t>
      </w:r>
    </w:p>
    <w:tbl>
      <w:tblPr>
        <w:tblStyle w:val="Table1"/>
        <w:bidiVisual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992"/>
        <w:gridCol w:w="4532"/>
        <w:gridCol w:w="2161"/>
        <w:tblGridChange w:id="0">
          <w:tblGrid>
            <w:gridCol w:w="959"/>
            <w:gridCol w:w="992"/>
            <w:gridCol w:w="4532"/>
            <w:gridCol w:w="216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5/mai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esqueleto do documento, definição dos steakholders, elaboração da descrição geral.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11/mai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Adicionei o Diagrama de Caso de Uso.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M.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15/mai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Adicionei o DFD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Huanna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18/mai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Adicionei o Caso de Uso Textual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Leonardo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</w:t>
              <w:tab/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2.</w:t>
              <w:tab/>
              <w:t xml:space="preserve">Descrição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3.</w:t>
              <w:tab/>
              <w:t xml:space="preserve">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494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Apêndices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spacing w:after="0" w:before="48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  <w:rtl w:val="0"/>
        </w:rPr>
        <w:t xml:space="preserve">Escopo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  <w:rtl w:val="0"/>
        </w:rPr>
        <w:t xml:space="preserve">Descrição dos Steakholders</w:t>
      </w:r>
    </w:p>
    <w:tbl>
      <w:tblPr>
        <w:tblStyle w:val="Table2"/>
        <w:bidiVisual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Silva Nascimento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Paulo Turato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Kaique Chioveto Silveira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Lucca Di Bastiani do Amaral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Huanna Raquel do Nascimento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Karen Esbaile Malzoni Rodrigues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Leonardo Fioretti de Moura Teixeira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Leticia Oliveira Camargo Tavares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Documentação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Henrique Maldonado Truzzi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Requisito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spacing w:after="0" w:before="480" w:line="276" w:lineRule="auto"/>
        <w:ind w:left="72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  <w:rtl w:val="0"/>
        </w:rPr>
        <w:t xml:space="preserve">Descrição do Público-Alvo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Pessoas que possuem contas em banco Aquário.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pessoa deve ser previamente cadastrado no banco.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spacing w:after="0" w:before="480" w:line="276" w:lineRule="auto"/>
        <w:ind w:left="72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  <w:rtl w:val="0"/>
        </w:rPr>
        <w:t xml:space="preserve">Requisitos de Qualidade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Apêndices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  <w:rtl w:val="0"/>
        </w:rPr>
        <w:t xml:space="preserve">Modelos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Modelo 1: Diagrama de Caso de Uso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350707" cy="295136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0707" cy="2951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Casos de Uso Textuais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O usuário vai acessar o caixa eletrônico informando os seguintes dados: conta, agência e senha. Depois serão disponibilizadas quatro ações para que o usuário escolha, são elas: sacar, consultar saldo, fazer uma transferência ou fazer um depósito. Para qualquer uma das ações será necessária uma segunda confirmação, em que o usuário digitará sua senha e as letras aleatória que foram entregues para ele no momento da abertura da conta no banco Aquario.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Caso o cliente tenha escolhido saque será perguntado o valor, o caixa irá analisar se o saldo é suficiente, caso seja, as cédulas serão entregues e uma nota será emitida, mostrando o seu saldo atual na conta e de quanto foi seu saque.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Caso seja escolhida a opção de consulta o caixa eletrônico apresentará o saldo da conta na tela. Suponhamos que ação escolhida seja transferência, o usuário deverá inserir novamente seus dados e também os dados da pessoa para a qual deseja transferir o dinheiro, após isso será pedida uma confirmação de que os dados de ambas as contas estão corretos, para finalizar será mostrado na tela a quantia que foi transferida e quanto ainda resta na conta do cliente.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Caso o usuário opte por depósito será pedido apenas os dados da conta para a qual ele deseja enviar o dinheiro e a quantia que está dentro do envelope, aparecerá na tela os dados para o usuário analisar se estão corretos.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No final de qualquer uma das operações será perguntado ao usuário se ele deseja efetuar mais alguma coisa, caso ele aperte que sim o sistema voltará para a tela na qual o cliente deve escolher a próxima ação. Caso ele escolha não fazer mais nada o programa termina e volta para a tela inicial esperando que um outro cliente venha usar.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Modelo 2: Diagrama de Fluxo de Dados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-975359</wp:posOffset>
            </wp:positionH>
            <wp:positionV relativeFrom="paragraph">
              <wp:posOffset>289560</wp:posOffset>
            </wp:positionV>
            <wp:extent cx="7419975" cy="3133725"/>
            <wp:effectExtent b="0" l="0" r="0" t="0"/>
            <wp:wrapSquare wrapText="bothSides" distB="0" distT="0" distL="114300" distR="114300"/>
            <wp:docPr descr="E:\DFD.png" id="1" name="image5.png"/>
            <a:graphic>
              <a:graphicData uri="http://schemas.openxmlformats.org/drawingml/2006/picture">
                <pic:pic>
                  <pic:nvPicPr>
                    <pic:cNvPr descr="E:\DFD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13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4f81bd"/>
          <w:sz w:val="24"/>
          <w:szCs w:val="24"/>
          <w:u w:val="none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Índice</w:t>
      </w:r>
    </w:p>
    <w:sectPr>
      <w:headerReference r:id="rId8" w:type="default"/>
      <w:footerReference r:id="rId9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4476750</wp:posOffset>
          </wp:positionH>
          <wp:positionV relativeFrom="paragraph">
            <wp:posOffset>-277494</wp:posOffset>
          </wp:positionV>
          <wp:extent cx="791210" cy="715645"/>
          <wp:effectExtent b="0" l="0" r="0" t="0"/>
          <wp:wrapSquare wrapText="bothSides" distB="0" distT="0" distL="114300" distR="114300"/>
          <wp:docPr descr="http://www.ft.unicamp.br/sites/default/files/logotipo/logotipo_cor.png" id="3" name="image7.png"/>
          <a:graphic>
            <a:graphicData uri="http://schemas.openxmlformats.org/drawingml/2006/picture">
              <pic:pic>
                <pic:nvPicPr>
                  <pic:cNvPr descr="http://www.ft.unicamp.br/sites/default/files/logotipo/logotipo_cor.png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210" cy="715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60325</wp:posOffset>
          </wp:positionH>
          <wp:positionV relativeFrom="paragraph">
            <wp:posOffset>-415289</wp:posOffset>
          </wp:positionV>
          <wp:extent cx="808990" cy="905510"/>
          <wp:effectExtent b="0" l="0" r="0" t="0"/>
          <wp:wrapSquare wrapText="bothSides" distB="0" distT="0" distL="114300" distR="114300"/>
          <wp:docPr descr="http://www.unicamp.br/unicamp/sites/default/files/logotipo/PRE_VERM.JPG" id="2" name="image6.jpg"/>
          <a:graphic>
            <a:graphicData uri="http://schemas.openxmlformats.org/drawingml/2006/picture">
              <pic:pic>
                <pic:nvPicPr>
                  <pic:cNvPr descr="http://www.unicamp.br/unicamp/sites/default/files/logotipo/PRE_VERM.JPG" id="0" name="image6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1080" w:firstLine="360"/>
      </w:pPr>
      <w:rPr/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80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2160" w:firstLine="360"/>
      </w:pPr>
      <w:rPr/>
    </w:lvl>
    <w:lvl w:ilvl="7">
      <w:start w:val="1"/>
      <w:numFmt w:val="decimal"/>
      <w:lvlText w:val="%1.%2.%3.%4.%5.%6.%7.%8."/>
      <w:lvlJc w:val="left"/>
      <w:pPr>
        <w:ind w:left="2520" w:firstLine="360"/>
      </w:pPr>
      <w:rPr/>
    </w:lvl>
    <w:lvl w:ilvl="8">
      <w:start w:val="1"/>
      <w:numFmt w:val="decimal"/>
      <w:lvlText w:val="%1.%2.%3.%4.%5.%6.%7.%8.%9."/>
      <w:lvlJc w:val="left"/>
      <w:pPr>
        <w:ind w:left="2520" w:firstLine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20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3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10.png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jpg"/></Relationships>
</file>