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0"/>
          <w:szCs w:val="30"/>
        </w:rPr>
        <w:t xml:space="preserve">A calibrated fair-comparison audit of quantum kernels: what such a protocol can and cannot conclude</w:t>
      </w:r>
    </w:p>
    <w:p>
      <w:pPr>
        <w:spacing w:after="140"/>
        <w:jc w:val="both"/>
      </w:pPr>
      <w:r>
        <w:t xml:space="preserve">Authors. Leonardo A. Forero Mendoza¹²*, Harold Dias de Mello Junior¹, Evelyn Conceição Santos Batista², Manoela Rabello Kohler², Marco Aurélio Cavalcanti Pacheco²</w:t>
      </w:r>
    </w:p>
    <w:p>
      <w:pPr>
        <w:spacing w:after="140"/>
        <w:jc w:val="both"/>
      </w:pPr>
      <w:r>
        <w:t xml:space="preserve">¹ Department of Electrical Engineering, Universidade do Estado do Rio de Janeiro (UERJ), Rio de Janeiro, Brazil</w:t>
      </w:r>
    </w:p>
    <w:p>
      <w:pPr>
        <w:spacing w:after="140"/>
        <w:jc w:val="both"/>
      </w:pPr>
      <w:r>
        <w:t xml:space="preserve">² Applied Computational Intelligence Laboratory (ICA), Pontifícia Universidade Católica do Rio de Janeiro (PUC-Rio), Rio de Janeiro, Brazil</w:t>
      </w:r>
    </w:p>
    <w:p>
      <w:pPr>
        <w:spacing w:after="140"/>
        <w:jc w:val="both"/>
      </w:pPr>
      <w:r>
        <w:rPr>
          <w:i/>
          <w:iCs/>
        </w:rPr>
        <w:t xml:space="preserve">Corresponding author: Leonardo A. Forero Mendoza.</w:t>
      </w:r>
    </w:p>
    <w:p>
      <w:pPr>
        <w:spacing w:after="140"/>
        <w:jc w:val="both"/>
      </w:pPr>
      <w:r>
        <w:t xml:space="preserve">Keywords. quantum kernel methods; fair comparison; classical surrogates; kernel concentration; equivalence testing; voice pathology detection</w:t>
      </w:r>
    </w:p>
    <w:p>
      <w:pPr>
        <w:pStyle w:val="Heading1"/>
        <w:spacing w:after="160" w:before="320"/>
      </w:pPr>
      <w:r>
        <w:t xml:space="preserve">Abstract</w:t>
      </w:r>
    </w:p>
    <w:p>
      <w:pPr>
        <w:spacing w:after="140"/>
        <w:jc w:val="both"/>
      </w:pPr>
      <w:r>
        <w:t xml:space="preserve">Quantum kernel methods are frequently reported to outperform classical baselines on tabular problems, but such comparisons rarely equalise the tuning budget across the two sides, and rarely establish what magnitude of advantage the experimental design could detect in the first place. We propose an audit protocol with five components: symmetric tuning of the encoding bandwidth and of the classical kernel parameter; a Gaussian surrogate whose parameter is least-squares fitted to approximate the quantum Gram matrix; an equivalence test with a margin registered before execution; a null distribution obtained by label permutation; and a graded positive control. We apply the protocol to two clinical voice corpora with subject-independent validation — 15,766 recordings from 1,315 speakers, and 195 recordings from 32 subjects — and to a synthetic set separable by construction under the feature map being tested. In the first corpus the classical surrogate tracks the fidelity kernel closely, with a partial rank correlation of 0.802 (95% CI 0.229 to 0.918) controlling for bandwidth and a median AUC difference of 0.0053. In the second the point estimate is lower, 0.485 (0.335 to 0.766), but the two intervals overlap and we do not claim that tracking differs between the corpora. Equivalence of the entangling and product feature maps, each at its own optimal bandwidth, is established in one of four qubit configurations in the first corpus and in none in the second, so we report it as a configuration-specific result rather than a general one. Projected kernels avoid Gram-matrix concentration without a corresponding performance gain. Detection floors are established per corpus by label permutation: 0.0075 AUC in the larger corpus and 0.0595 in the smaller, against 0.167 in the synthetic construction. In the larger corpus the observed advantage falls below a floor the design demonstrably achieves, which supports absence of a practically relevant effect; in the smaller corpus the floor exceeds every observed effect, so the evidence there is inconclusive and we draw no conclusion from it.</w:t>
      </w:r>
    </w:p>
    <w:p>
      <w:pPr>
        <w:pStyle w:val="Heading1"/>
        <w:spacing w:after="160" w:before="320"/>
      </w:pPr>
      <w:r>
        <w:t xml:space="preserve">1. Introduction</w:t>
      </w:r>
    </w:p>
    <w:p>
      <w:pPr>
        <w:spacing w:after="140"/>
        <w:jc w:val="both"/>
      </w:pPr>
      <w:r>
        <w:t xml:space="preserve">Quantum kernel methods are among the most studied routes to quantum advantage in machine learning on NISQ devices. The canonical construction measures the fidelity between states produced by a data-parameterised feature map, and the resulting Gram matrix feeds a classical margin classifier [1, 2]; indeed supervised quantum models of this family can be analysed entirely as kernel methods [3]. The appeal is twofold: training remains convex, and the accessible Hilbert space grows exponentially with qubit count. Rigorous separations are known under specific cryptographic assumptions [4], but they do not transfer automatically to the tabular problems on which applied claims are usually made.</w:t>
      </w:r>
    </w:p>
    <w:p>
      <w:pPr>
        <w:spacing w:after="140"/>
        <w:jc w:val="both"/>
      </w:pPr>
      <w:r>
        <w:t xml:space="preserve">A substantial body of applied work reports gains of quantum kernels over classical baselines, frequently in biomedical domains. These reports, however, rarely control capacity on both sides of the comparison: the quantum kernel's hyperparameter is tuned while the classical baseline runs at default settings, or the baseline is tuned on a coarser grid. When the comparison is asymmetric, an apparent gain does not distinguish method advantage from tuning advantage.</w:t>
      </w:r>
    </w:p>
    <w:p>
      <w:pPr>
        <w:pStyle w:val="Heading2"/>
        <w:spacing w:after="120" w:before="240"/>
      </w:pPr>
      <w:r>
        <w:t xml:space="preserve">1.1 Position with respect to existing theory</w:t>
      </w:r>
    </w:p>
    <w:p>
      <w:pPr>
        <w:spacing w:after="140"/>
        <w:jc w:val="both"/>
      </w:pPr>
      <w:r>
        <w:t xml:space="preserve">The theoretical literature has established that fidelity kernels suffer exponential concentration [7], that the inductive bias they carry rarely matches the structure of real data [8], and that the encoding bandwidth governs generalisation [10, 11]. The same expressivity that drives concentration also underlies the barren-plateau phenomenon in variational circuits [9]. This work does not claim discovery of these phenomena. More than that: part of what we observe is predictable analytically.</w:t>
      </w:r>
    </w:p>
    <w:p>
      <w:pPr>
        <w:spacing w:after="140"/>
        <w:jc w:val="both"/>
      </w:pPr>
      <w:r>
        <w:t xml:space="preserve">With a single repetition of the feature map, the single-qubit fidelity kernel is exactly cos²(x − x′) — shift-invariant and, for small argument, Gaussian; we verify this numerically to 8.9 × 10⁻¹⁶. With two repetitions the Hadamard between layers destroys shift invariance, so no closed form in the displacement exists. What survives is the small-angle regime: we measure that the product feature map is approximated by a Gaussian with residual 6.2 × 10⁻⁴ per Gram element at c = 0.07 — precisely the bandwidth at which performance peaks. The ZZ map at the same point has residual 0.149, two orders of magnitude larger.</w:t>
      </w:r>
    </w:p>
    <w:p>
      <w:pPr>
        <w:spacing w:after="140"/>
        <w:jc w:val="both"/>
      </w:pPr>
      <w:r>
        <w:t xml:space="preserve">The entanglement term is therefore the only component that breaks the Gaussian approximation, and the empirical question of this paper is whether breaking it buys anything.</w:t>
      </w:r>
    </w:p>
    <w:p>
      <w:pPr>
        <w:pStyle w:val="Heading2"/>
        <w:spacing w:after="120" w:before="240"/>
      </w:pPr>
      <w:r>
        <w:t xml:space="preserve">1.2 Contribution</w:t>
      </w:r>
    </w:p>
    <w:p>
      <w:pPr>
        <w:spacing w:after="140"/>
        <w:jc w:val="both"/>
      </w:pPr>
      <w:r>
        <w:t xml:space="preserve">The contribution is a calibrated audit protocol, and a careful account of what it permits and does not permit one to conclude. Its components are: (i) parity of tuning budget across the two sides; (ii) a classical surrogate whose parameter is least-squares fitted to the quantum Gram matrix; (iii) an equivalence test with a margin registered before execution; (iv) a null distribution obtained by label permutation, which fixes the detection floor of the design; and (v) a graded positive control, which measures the smallest detectable advantage.</w:t>
      </w:r>
    </w:p>
    <w:p>
      <w:pPr>
        <w:spacing w:after="140"/>
        <w:jc w:val="both"/>
      </w:pPr>
      <w:r>
        <w:t xml:space="preserve">Component (iv) is what separates this work from the reports it audits. Without a null distribution, "we found no advantage" is indistinguishable from "our design would not see any advantage".</w:t>
      </w:r>
    </w:p>
    <w:p>
      <w:pPr>
        <w:spacing w:after="140"/>
        <w:jc w:val="both"/>
      </w:pPr>
      <w:r>
        <w:t xml:space="preserve">We note explicitly that the term </w:t>
      </w:r>
      <w:r>
        <w:rPr>
          <w:i/>
          <w:iCs/>
        </w:rPr>
        <w:t xml:space="preserve">classical surrogate</w:t>
      </w:r>
      <w:r>
        <w:t xml:space="preserve"> is established in a different sense [12], as are dequantisation results based on random Fourier features [13, 14] and tensor networks [15]. Those works construct surrogates from the structure of the model — the Fourier spectrum of the encoding, a decomposition of the circuit — and ask whether the quantum model is dequantisable in principle. Our surrogate is fitted to the observed Gram matrix and serves as an instrument of empirical audit under tuning parity. The question is not whether an efficient surrogate exists in theory, but how much of a reported performance survives when the baseline receives the same tuning budget. The contribution is methodological, not theoretical.</w:t>
      </w:r>
    </w:p>
    <w:p>
      <w:pPr>
        <w:spacing w:after="140"/>
        <w:jc w:val="both"/>
      </w:pPr>
      <w:r>
        <w:t xml:space="preserve">Concretely, we report an audit protocol whose detection floor is measured by permutation and whose sensitivity is calibrated by a graded positive control; evidence that in the larger corpus the fidelity kernel is reproduced by a Gaussian surrogate, with partial rank correlation 0.802 [0.229 – 0.918] controlling for bandwidth and a correlation across folds at fixed bandwidth whose median is 0.97 and which is positive at every bandwidth we examined; a lower point estimate in the smaller corpus, 0.485 [0.335 – 0.766], on intervals that overlap those of the larger corpus and therefore do not establish a difference between them; an equivalence result with a pre-registered margin which holds in one of four qubit configurations in the larger corpus and in none in the smaller; and an observation about the widely used ad hoc benchmark, whose separability collapses outside a narrow window of bandwidth around the generating value.</w:t>
      </w:r>
    </w:p>
    <w:p>
      <w:pPr>
        <w:pStyle w:val="Heading1"/>
        <w:spacing w:after="160" w:before="320"/>
      </w:pPr>
      <w:r>
        <w:t xml:space="preserve">2. Methods</w:t>
      </w:r>
    </w:p>
    <w:p>
      <w:pPr>
        <w:pStyle w:val="Heading2"/>
        <w:spacing w:after="120" w:before="240"/>
      </w:pPr>
      <w:r>
        <w:t xml:space="preserve">2.1 Datasets</w:t>
      </w:r>
    </w:p>
    <w:p>
      <w:pPr>
        <w:spacing w:after="140"/>
        <w:jc w:val="both"/>
      </w:pPr>
      <w:r>
        <w:t xml:space="preserve">SVD (Saarbrücken Voice Database) [24]. 15,766 recordings from 1,315 speakers; prevalence 0.477 (healthy vs. pathological). Seventy-nine acoustic features were extracted with a Praat/parselmouth [27] and librosa [28] pipeline: 15 perturbation measures (jitter, shimmer, HNR), 12 spectral and energy measures, and 52 MFCC-derived features (13 coefficients × mean, standard deviation, delta, delta²). Session identifier, vowel, pitch condition and file path are metadata and were explicitly excluded from the predictor set; the session identifier in particular carries label information.</w:t>
      </w:r>
    </w:p>
    <w:p>
      <w:pPr>
        <w:spacing w:after="140"/>
        <w:jc w:val="both"/>
      </w:pPr>
      <w:r>
        <w:t xml:space="preserve">Oxford Parkinson's dataset [25]. 195 sustained-phonation recordings, 22 features. Subject identity is recoverable from the record name; the file contains 32 distinct subject codes, whereas the UCI documentation describes 31 individuals (23 with Parkinson's disease). We report the number measured in the file and flag the discrepancy. Recordings per subject: 6 or 7. Class structure at the subject level is 24 versus 8, which bounds the number of folds and widens confidence intervals; this is a property of the corpus, not of the protocol.</w:t>
      </w:r>
    </w:p>
    <w:p>
      <w:pPr>
        <w:spacing w:after="140"/>
        <w:jc w:val="both"/>
      </w:pPr>
      <w:r>
        <w:t xml:space="preserve">Synthetic control (ad hoc). Following the construction of Havlíček et al. [1], labels are given by the sign of the expectation of a random observable over states generated by the same ZZ feature map under test, with an imposed separation margin. It is separable by construction under the quantum kernel, and serves to verify the sensitivity of the protocol.</w:t>
      </w:r>
    </w:p>
    <w:p>
      <w:pPr>
        <w:spacing w:after="140"/>
        <w:jc w:val="both"/>
      </w:pPr>
      <w:r>
        <w:t xml:space="preserve">We also evaluated the Breast Cancer Wisconsin (Diagnostic) dataset [26], but it saturates in every regime we examined (AUC ≥ 0.982 down to 20 samples per class) and cannot discriminate between methods; it is excluded from the analysis.</w:t>
      </w:r>
    </w:p>
    <w:p>
      <w:pPr>
        <w:pStyle w:val="Heading2"/>
        <w:spacing w:after="120" w:before="240"/>
      </w:pPr>
      <w:r>
        <w:t xml:space="preserve">2.2 Feature maps and kernels</w:t>
      </w:r>
    </w:p>
    <w:p>
      <w:pPr>
        <w:spacing w:after="140"/>
        <w:jc w:val="both"/>
      </w:pPr>
      <w:r>
        <w:t xml:space="preserve">The feature map is of ZZ type with two repetitions. Each layer applies a Hadamard and an RZ(2xᵢ) rotation to every qubit; in the entangling variant, neighbouring pairs additionally receive CNOT–RZ(2(π − xᵢ)(π − xⱼ))–CNOT. The product variant omits the entangling block and is otherwise identical, so that the contrast isolates the effect of entanglement.</w:t>
      </w:r>
    </w:p>
    <w:p>
      <w:pPr>
        <w:spacing w:after="140"/>
        <w:jc w:val="both"/>
      </w:pPr>
      <w:r>
        <w:t xml:space="preserve">Two kernels are evaluated. The fidelity kernel is K(x, x′) = |⟨φ(x)|φ(x′)⟩|². The projected kernel [6] extracts the one-body reduced density matrices, represented by the Bloch vectors (⟨X⟩, ⟨Y⟩, ⟨Z⟩) of each qubit, and applies a Gaussian over these 3q values, with width set by the median heuristic computed on training data only. The extraction is verified numerically: without entanglement the Bloch vectors have unit norm (pure single-qubit states), and with entanglement the norm falls; we measure 1.0000 and 0.6765 respectively.</w:t>
      </w:r>
    </w:p>
    <w:p>
      <w:pPr>
        <w:spacing w:after="140"/>
        <w:jc w:val="both"/>
      </w:pPr>
      <w:r>
        <w:t xml:space="preserve">States are computed once per sample (n circuit evaluations) and the Gram matrix obtained by a matrix product, rather than by n² circuit evaluations. Simulation uses PennyLane [29] with scikit-learn [30] for the classical components; it is state-vector and therefore exact; there is no shot noise. The quantum side thus operates in its best case.</w:t>
      </w:r>
    </w:p>
    <w:p>
      <w:pPr>
        <w:pStyle w:val="Heading2"/>
        <w:spacing w:after="120" w:before="240"/>
      </w:pPr>
      <w:r>
        <w:t xml:space="preserve">2.3 Bandwidth and tuning parity</w:t>
      </w:r>
    </w:p>
    <w:p>
      <w:pPr>
        <w:spacing w:after="140"/>
        <w:jc w:val="both"/>
      </w:pPr>
      <w:r>
        <w:t xml:space="preserve">Data are scaled to [0, π] and multiplied by a bandwidth factor c, swept over twelve geometric values between 0.01 and 2.0. This factor is the quantum analogue of γ in an RBF kernel; omitting it from tuning penalises the quantum side artificially. Both sides of the comparison therefore receive an equivalent tuning budget.</w:t>
      </w:r>
    </w:p>
    <w:p>
      <w:pPr>
        <w:pStyle w:val="Heading2"/>
        <w:spacing w:after="120" w:before="240"/>
      </w:pPr>
      <w:r>
        <w:t xml:space="preserve">2.4 The classical surrogate</w:t>
      </w:r>
    </w:p>
    <w:p>
      <w:pPr>
        <w:spacing w:after="140"/>
        <w:jc w:val="both"/>
      </w:pPr>
      <w:r>
        <w:t xml:space="preserve">For each quantum Gram matrix K_q computed on the training set, we minimise ‖K_q − exp(−γ D²)‖_F over γ by scalar minimisation, where D² are squared Euclidean distances in the same scaled space. The classical SVM is then trained with that γ, in the space already multiplied by c; rescaling γ instead of the data introduces a factor c² that degenerates the surrogate. An additional control applies random Fourier features [16] with the same γ.</w:t>
      </w:r>
    </w:p>
    <w:p>
      <w:pPr>
        <w:spacing w:after="140"/>
        <w:jc w:val="both"/>
      </w:pPr>
      <w:r>
        <w:t xml:space="preserve">The interpretation is direct: if the surrogate matches the quantum kernel, whatever the circuit computes is recoverable by a classical Gaussian of predictable width.</w:t>
      </w:r>
    </w:p>
    <w:p>
      <w:pPr>
        <w:pStyle w:val="Heading2"/>
        <w:spacing w:after="120" w:before="240"/>
      </w:pPr>
      <w:r>
        <w:t xml:space="preserve">2.5 Validation protocol</w:t>
      </w:r>
    </w:p>
    <w:p>
      <w:pPr>
        <w:spacing w:after="140"/>
        <w:jc w:val="both"/>
      </w:pPr>
      <w:r>
        <w:t xml:space="preserve">Partitioning uses StratifiedGroupKFold. In the SVD the groups are speakers — there are twelve recordings per speaker and ignoring this structure inflates performance; in the Parkinson corpus the groups are subjects. Low-n subsampling respects group integrity: whole subjects enter or are left out.</w:t>
      </w:r>
    </w:p>
    <w:p>
      <w:pPr>
        <w:spacing w:after="140"/>
        <w:jc w:val="both"/>
      </w:pPr>
      <w:r>
        <w:t xml:space="preserve">Median imputation, univariate selection of the k best features and scaling are fitted exclusively on the training set of each fold.</w:t>
      </w:r>
    </w:p>
    <w:p>
      <w:pPr>
        <w:spacing w:after="140"/>
        <w:jc w:val="both"/>
      </w:pPr>
      <w:r>
        <w:t xml:space="preserve">Null control. A branch with permuted labels traverses the entire pipeline, including feature selection. Permuting only at classifier training, while selection still sees the true labels, is not a valid null — selection has already injected class information. The null control recorded AUC 0.506 ± 0.015.</w:t>
      </w:r>
    </w:p>
    <w:p>
      <w:pPr>
        <w:pStyle w:val="Heading2"/>
        <w:spacing w:after="120" w:before="240"/>
      </w:pPr>
      <w:r>
        <w:t xml:space="preserve">2.6 Disentangling qubits from dimensionality</w:t>
      </w:r>
    </w:p>
    <w:p>
      <w:pPr>
        <w:spacing w:after="140"/>
        <w:jc w:val="both"/>
      </w:pPr>
      <w:r>
        <w:t xml:space="preserve">Selecting k = q features couples circuit width to data dimensionality, so any trend with qubit count is ambiguous. A second arm keeps k = 4 for all values of q, re-encoding the same features cyclically across the additional qubits (data re-uploading [5]). Only circuit width then varies.</w:t>
      </w:r>
    </w:p>
    <w:p>
      <w:pPr>
        <w:spacing w:after="140"/>
        <w:jc w:val="both"/>
      </w:pPr>
      <w:r>
        <w:t xml:space="preserve">Separately, to test whether differences between corpora are attributable to sampling design rather than domain, we degrade the larger corpus one factor at a time — sample size, then dimensionality, then fold count — towards the configuration of the smaller one, recomputing the partial correlation at each step.</w:t>
      </w:r>
    </w:p>
    <w:p>
      <w:pPr>
        <w:pStyle w:val="Heading2"/>
        <w:spacing w:after="120" w:before="240"/>
      </w:pPr>
      <w:r>
        <w:t xml:space="preserve">2.7 Statistical analysis</w:t>
      </w:r>
    </w:p>
    <w:p>
      <w:pPr>
        <w:spacing w:after="140"/>
        <w:jc w:val="both"/>
      </w:pPr>
      <w:r>
        <w:t xml:space="preserve">Comparison at the optimum. Comparing feature maps by averaging over the whole bandwidth grid is misleading: the entangling variant degrades faster away from its optimum, and the average penalises it for regions no user would choose. Each variant is therefore evaluated at its own optimal bandwidth, selected by leave-one-fold-out — the c used in fold i comes from the mean over the remaining folds, so no information from the evaluated fold enters the choice.</w:t>
      </w:r>
    </w:p>
    <w:p>
      <w:pPr>
        <w:spacing w:after="140"/>
        <w:jc w:val="both"/>
      </w:pPr>
      <w:r>
        <w:t xml:space="preserve">Unit of analysis. The fold, not the grid cell, following standard practice for comparing learning algorithms across resampled partitions [19]. Repetitions resample within the same folds and are not independent observations; treating them as such narrows confidence intervals without new information. We verified this empirically: contrasts that survived Holm correction at the observation level (p = 0.019 and 0.0057) no longer survived when aggregated by fold (p = 0.22 and 0.26) [23].</w:t>
      </w:r>
    </w:p>
    <w:p>
      <w:pPr>
        <w:spacing w:after="140"/>
        <w:jc w:val="both"/>
      </w:pPr>
      <w:r>
        <w:t xml:space="preserve">Equivalence. Failure to reject the null does not establish equality. For the entanglement claim we use TOST [21] with a margin of 0.01 AUC fixed before execution; an equivalence conclusion requires the 95% confidence interval of the difference to lie entirely within the margin.</w:t>
      </w:r>
    </w:p>
    <w:p>
      <w:pPr>
        <w:spacing w:after="140"/>
        <w:jc w:val="both"/>
      </w:pPr>
      <w:r>
        <w:t xml:space="preserve">Multiple comparisons. Holm correction [22] over the complete family of tests, not within each subgroup separately.</w:t>
      </w:r>
    </w:p>
    <w:p>
      <w:pPr>
        <w:spacing w:after="140"/>
        <w:jc w:val="both"/>
      </w:pPr>
      <w:r>
        <w:t xml:space="preserve">Correlation between kernels. Because both kernels respond to bandwidth, raw rank correlation along the sweep is confounded. We report partial rank correlation controlling for c (and, secondarily, for c and q), computed as Spearman correlation between residuals of rank regressions, with 95% intervals from bootstrap over folds (2,000 resamples). We report no p-values for these quantities, since grid cells share folds. As a confound-free check we also correlate the two kernels across folds at fixed c, one correlation per bandwidth.</w:t>
      </w:r>
    </w:p>
    <w:p>
      <w:pPr>
        <w:spacing w:after="140"/>
        <w:jc w:val="both"/>
      </w:pPr>
      <w:r>
        <w:t xml:space="preserve">Null distribution and detection floor. For each corpus we compute the distribution of the estimated advantage under label permutation (20 permutations, permuting at the group level where group structure exists, so that all recordings of a subject receive the same swapped label; permuting per recording would destroy group structure and yield an optimistic null). The 95th percentile of this distribution is the detection floor for that corpus: no advantage below it is reported as real. This addresses the optimism of selection-based estimators documented by Varma and Simon [18] and Cawley and Talbot [17].</w:t>
      </w:r>
    </w:p>
    <w:p>
      <w:pPr>
        <w:pStyle w:val="Heading2"/>
        <w:spacing w:after="120" w:before="240"/>
      </w:pPr>
      <w:r>
        <w:t xml:space="preserve">2.8 Reproducibility</w:t>
      </w:r>
    </w:p>
    <w:p>
      <w:pPr>
        <w:spacing w:after="140"/>
        <w:jc w:val="both"/>
      </w:pPr>
      <w:r>
        <w:t xml:space="preserve">Seeds are fixed (random_state = 7 for partitions, generators derived from fold and repetition). Independent executions reproduced results to the fourth decimal place. Raw per-cell results are persisted to CSV so that the entire analysis can be recomputed without re-running the grid.</w:t>
      </w:r>
    </w:p>
    <w:p>
      <w:pPr>
        <w:pStyle w:val="Heading1"/>
        <w:spacing w:after="160" w:before="320"/>
      </w:pPr>
      <w:r>
        <w:t xml:space="preserve">3. Results</w:t>
      </w:r>
    </w:p>
    <w:p>
      <w:pPr>
        <w:pStyle w:val="Heading2"/>
        <w:spacing w:after="120" w:before="240"/>
      </w:pPr>
      <w:r>
        <w:t xml:space="preserve">3.1 The detection floor of the design</w:t>
      </w:r>
    </w:p>
    <w:p>
      <w:pPr>
        <w:spacing w:after="140"/>
        <w:jc w:val="both"/>
      </w:pPr>
      <w:r>
        <w:t xml:space="preserve">The permutation null fixes what this design can see, and it must be computed per corpus: the floor depends on sample size, class balance and fold count, none of which transfer.</w:t>
      </w:r>
    </w:p>
    <w:p>
      <w:pPr>
        <w:spacing w:after="140"/>
        <w:jc w:val="both"/>
      </w:pPr>
      <w:r>
        <w:t xml:space="preserve">In the SVD, permuting labels at the speaker level over 20 permutations gives a null centred near zero (median +0.0011, range −0.0068 to +0.0081) and a 95th percentile of +0.0075 AUC. In the Parkinson corpus the 95th percentile is +0.0595, with a 5% false-positive rate for the criterion CI₉₅ &gt; 0. In the synthetic control it is +0.108 with a 25% false-positive rate; there the leave-one-fold-out argmax is optimistically biased, and the graded label-noise control puts the operational threshold at 0.167 AUC.</w:t>
      </w:r>
    </w:p>
    <w:p>
      <w:pPr>
        <w:spacing w:after="140"/>
        <w:jc w:val="both"/>
      </w:pPr>
      <w:r>
        <w:t xml:space="preserve">The contrast between corpora is itself informative. In the SVD the design resolves differences of well under 0.01 AUC — twenty times finer than the synthetic control — because 1,315 speakers and ten folds support a tight null. The synthetic threshold of 0.167 therefore describes only that small, low-n construction and must not be read as the resolution of the study.</w:t>
      </w:r>
    </w:p>
    <w:p>
      <w:pPr>
        <w:spacing w:after="140"/>
        <w:jc w:val="both"/>
      </w:pPr>
      <w:r>
        <w:t xml:space="preserve">No absence of advantage below is reported against zero, but against the floor of the corresponding corpus.</w:t>
      </w:r>
    </w:p>
    <w:p>
      <w:pPr>
        <w:pStyle w:val="Heading2"/>
        <w:spacing w:after="120" w:before="240"/>
      </w:pPr>
      <w:r>
        <w:t xml:space="preserve">3.2 Classical surrogates and the limit of generalisation</w:t>
      </w:r>
    </w:p>
    <w:p>
      <w:pPr>
        <w:spacing w:after="140"/>
        <w:jc w:val="both"/>
      </w:pPr>
      <w:r>
        <w:t xml:space="preserve">Raw correlation alone is not sufficient evidence here. Both kernels degrade monotonically with bandwidth, so a rank correlation computed along the sweep partly measures a shared response to c rather than tracking. We therefore report the partial rank correlation controlling for c, obtained as a Spearman correlation between the residuals of rank regressions, with a 95% interval from bootstrap over folds — the legitimate resampling unit. No p-value is reported for these quantities: the 48 cells share folds and are not independent observations.</w:t>
      </w:r>
    </w:p>
    <w:p>
      <w:pPr>
        <w:spacing w:after="140"/>
        <w:jc w:val="both"/>
      </w:pPr>
      <w:r>
        <w:t xml:space="preserve">In the SVD the raw correlation is 0.973 and the partial correlation is 0.802 [0.229 – 0.918]; controlling for c and q jointly gives 0.880. In the Parkinson corpus the raw correlation is 0.871 and the partial is 0.485 [0.335 – 0.766], with 0.354 controlling for both. Median |AUC_q − AUC_surr| is 0.0053 in the SVD and 0.030 in the Parkinson corpus.</w:t>
      </w:r>
    </w:p>
    <w:p>
      <w:pPr>
        <w:spacing w:after="140"/>
        <w:jc w:val="both"/>
      </w:pPr>
      <w:r>
        <w:t xml:space="preserve">A stricter test isolates the effect completely. Holding c fixed, we correlate the two kernels across folds, one correlation per bandwidth. The median is 0.97 in the SVD (range 0.661 – 0.988) and 1.00 in the Parkinson corpus (range 0.200 – 1.000), positive at 100% of bandwidths in both. Tracking is therefore not an artefact of the sweep.</w:t>
      </w:r>
    </w:p>
    <w:p>
      <w:pPr>
        <w:spacing w:after="140"/>
        <w:jc w:val="both"/>
      </w:pPr>
      <w:r>
        <w:t xml:space="preserve">Across 8 fold partitions the SVD correlation ranges 0.937 – 0.984 and the Parkinson correlation 0.827 – 0.934. We report this as a descriptive range and deliberately apply no significance test between the two: partitions are re-partitionings of the same data, not independent samples, and a test over them would grow arbitrarily significant with the number of partitions — the same pseudoreplication we criticise in Section 2.7.</w:t>
      </w:r>
    </w:p>
    <w:p>
      <w:pPr>
        <w:spacing w:after="140"/>
        <w:jc w:val="both"/>
      </w:pPr>
      <w:r>
        <w:t xml:space="preserve">The point estimate of tracking is higher in the SVD than in the Parkinson corpus (Fig. 1), but the comparison does not survive its own uncertainty: the bootstrap intervals of the two partial correlations, 0.229 to 0.918 and 0.335 to 0.766, overlap over most of their range, and the Parkinson interval lies almost entirely inside the SVD one. We therefore do not claim that surrogate tracking differs between the corpora. What follows reports two candidate explanations for the apparent gap, both of which we tested and neither of which held, and we present them for completeness rather than as support for a difference we have not established.</w:t>
      </w:r>
    </w:p>
    <w:p>
      <w:pPr>
        <w:spacing w:after="80" w:before="240" w:line="240" w:lineRule="auto"/>
        <w:jc w:val="center"/>
      </w:pPr>
      <w:r>
        <w:drawing>
          <wp:inline distT="0" distB="0" distL="0" distR="0">
            <wp:extent cx="2857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181350"/>
                    </a:xfrm>
                    <a:prstGeom prst="rect">
                      <a:avLst/>
                    </a:prstGeom>
                  </pic:spPr>
                </pic:pic>
              </a:graphicData>
            </a:graphic>
          </wp:inline>
        </w:drawing>
      </w:r>
    </w:p>
    <w:p>
      <w:pPr>
        <w:spacing w:after="260"/>
        <w:ind w:left="504" w:right="504"/>
      </w:pPr>
      <w:r>
        <w:rPr>
          <w:sz w:val="18"/>
          <w:szCs w:val="18"/>
        </w:rPr>
        <w:t xml:space="preserve">Fig. 1 Classical surrogates closely track the fidelity kernel in both corpora. Quantum fidelity-kernel AUC against classical surrogate AUC, one point per grid cell (4 qubit counts × 12 bandwidths, 48 cells per corpus); the grey line is the identity. SVD points sit on the identity (raw ρ = 0.973, partial ρ | c = 0.802); Parkinson points scatter more widely (raw ρ = 0.871, partial 0.485) and lie above the identity in 34 of 48 cells, with a median difference of +0.021, against 22 of 48 and −0.0003 in the SVD. We report these counts descriptively and attach no p-value to them, since cells within a corpus share folds and are not independent observations; the Parkinson displacement is in any case smaller than the detection floor of that corpus (Section 3.1). Marker shape, not colour alone, distinguishes the corpora.</w:t>
      </w:r>
    </w:p>
    <w:p>
      <w:pPr>
        <w:spacing w:after="140"/>
        <w:jc w:val="both"/>
      </w:pPr>
      <w:r>
        <w:t xml:space="preserve">Two explanations suggested themselves, and neither survived. Consider first feature redundancy. Drawing 40 random subsets of 6 features per corpus, redundancy measured by the participation ratio of the correlation-matrix eigenvalues does not predict the surrogate gap within either corpus (ρ = 0.020 and 0.184, neither significant), and the corpus coefficient does not shrink when controlling for it (0.0185 → 0.0211). Per-corpus medians are consistent with the hypothesis, but within-corpus variation refutes it.</w:t>
      </w:r>
    </w:p>
    <w:p>
      <w:pPr>
        <w:spacing w:after="140"/>
        <w:jc w:val="both"/>
      </w:pPr>
      <w:r>
        <w:t xml:space="preserve">The second candidate was sampling design. The two corpora differ simultaneously in sample size, dimensionality and fold count. We degraded the SVD one factor at a time towards the Parkinson configuration, measuring the partial correlation at each step (target: 0.485). Full SVD gives 0.802; restricting to 195 recordings gives 0.436, essentially on target; additionally restricting to 22 randomly drawn features returns 0.863; additionally reducing to 4 folds gives 0.307. The ladder is not monotone, and it overshoots in both directions. With a single random feature draw and a single partition seed per step, these movements are within the noise the design itself exhibits, and we do not read them as identification.</w:t>
      </w:r>
    </w:p>
    <w:p>
      <w:pPr>
        <w:spacing w:after="140"/>
        <w:jc w:val="both"/>
      </w:pPr>
      <w:r>
        <w:t xml:space="preserve">Taken together with the overlapping intervals above, these two failed explanations leave us with no evidence of a genuine between-corpus difference. The regime-conditional reading that an earlier version of this analysis adopted is withdrawn. Establishing whether such a difference exists would require repeating each rung of the ladder over multiple feature draws and partition seeds, and more corpora than two; we did not attempt it here.</w:t>
      </w:r>
    </w:p>
    <w:p>
      <w:pPr>
        <w:pStyle w:val="Heading2"/>
        <w:spacing w:after="120" w:before="240"/>
      </w:pPr>
      <w:r>
        <w:t xml:space="preserve">3.3 Mechanism of the performance curve</w:t>
      </w:r>
    </w:p>
    <w:p>
      <w:pPr>
        <w:spacing w:after="140"/>
        <w:jc w:val="both"/>
      </w:pPr>
      <w:r>
        <w:t xml:space="preserve">Performance is unimodal in c, with the optimum shifting from 0.111 (4 qubits) to 0.069 (8–10 qubits) — the direction expected if concentration is the dominant mechanism, since wider circuits concentrate faster. On the descending branch, the rank correlation between the off-diagonal standard deviation of the Gram matrix and AUC is 0.851. We report this as a descriptive association without a p-value, for the reason given in Section 2.7: the points are grid cells sharing folds, so a nominal significance level would be meaningless. The association is monotone across all four qubit counts, which is the sense in which we read the decline at large bandwidth as Gram-matrix concentration.</w:t>
      </w:r>
    </w:p>
    <w:p>
      <w:pPr>
        <w:spacing w:after="140"/>
        <w:jc w:val="both"/>
      </w:pPr>
      <w:r>
        <w:t xml:space="preserve">Figure 2 shows both effects: quantum and surrogate curves are indistinguishable in the SVD across the whole bandwidth sweep, and AUC declines as the Gram matrix concentrates.</w:t>
      </w:r>
    </w:p>
    <w:p>
      <w:pPr>
        <w:spacing w:after="80" w:before="240" w:line="240" w:lineRule="auto"/>
        <w:jc w:val="center"/>
      </w:pPr>
      <w:r>
        <w:drawing>
          <wp:inline distT="0" distB="0" distL="0" distR="0">
            <wp:extent cx="4381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847850"/>
                    </a:xfrm>
                    <a:prstGeom prst="rect">
                      <a:avLst/>
                    </a:prstGeom>
                  </pic:spPr>
                </pic:pic>
              </a:graphicData>
            </a:graphic>
          </wp:inline>
        </w:drawing>
      </w:r>
    </w:p>
    <w:p>
      <w:pPr>
        <w:spacing w:after="260"/>
        <w:ind w:left="504" w:right="504"/>
      </w:pPr>
      <w:r>
        <w:rPr>
          <w:sz w:val="18"/>
          <w:szCs w:val="18"/>
        </w:rPr>
        <w:t xml:space="preserve">Fig. 2 Performance is unimodal in bandwidth, and its decline is Gram-matrix concentration. Left: AUC against encoding bandwidth c at the largest qubit count, for the quantum fidelity kernel (solid/dashed) and its fitted classical surrogate (dotted). Right: AUC against the off-diagonal standard deviation of the Gram matrix, the concentration diagnostic; performance falls as the Gram matrix concentrates.</w:t>
      </w:r>
    </w:p>
    <w:p>
      <w:pPr>
        <w:spacing w:after="140"/>
        <w:jc w:val="both"/>
      </w:pPr>
      <w:r>
        <w:t xml:space="preserve">The Frobenius residual of the surrogate fit does not discriminate in this regime, being degenerate as c → 0 (the Gram matrix tends to the all-ones matrix, which any kernel approximates well). It is reported as a secondary diagnostic with that caveat.</w:t>
      </w:r>
    </w:p>
    <w:p>
      <w:pPr>
        <w:pStyle w:val="Heading2"/>
        <w:spacing w:after="120" w:before="240"/>
      </w:pPr>
      <w:r>
        <w:t xml:space="preserve">3.4 Entanglement: equivalence in one configuration only</w:t>
      </w:r>
    </w:p>
    <w:p>
      <w:pPr>
        <w:spacing w:after="140"/>
        <w:jc w:val="both"/>
      </w:pPr>
      <w:r>
        <w:t xml:space="preserve">With each feature map at its own optimal bandwidth (leave-one-fold-out selection, 10 folds), the ZZ − product differences in the SVD lie between −0.0063 and +0.0036. Of the four qubit configurations, equivalence within the ±0.01 margin is established in exactly one, at 10 qubits; at 4, 6 and 8 qubits the interval touches the margin and the test is inconclusive. In the Parkinson corpus the intervals are roughly eighty times wider and no configuration is conclusive in either direction. Figure 3 shows the two corpora side by side with the pre-registered margin drawn.</w:t>
      </w:r>
    </w:p>
    <w:p>
      <w:pPr>
        <w:spacing w:after="140"/>
        <w:jc w:val="both"/>
      </w:pPr>
      <w:r>
        <w:t xml:space="preserve">We state the resulting claim narrowly. These data establish equivalence for one configuration of one corpus. They do not establish that entanglement is inconsequential in general, and the eleven remaining configurations are inconclusive rather than negative: an effect inside the margin and an effect the design cannot resolve look alike here.</w:t>
      </w:r>
    </w:p>
    <w:p>
      <w:pPr>
        <w:spacing w:after="80" w:before="240" w:line="240" w:lineRule="auto"/>
        <w:jc w:val="center"/>
      </w:pPr>
      <w:r>
        <w:drawing>
          <wp:inline distT="0" distB="0" distL="0" distR="0">
            <wp:extent cx="3238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933700"/>
                    </a:xfrm>
                    <a:prstGeom prst="rect">
                      <a:avLst/>
                    </a:prstGeom>
                  </pic:spPr>
                </pic:pic>
              </a:graphicData>
            </a:graphic>
          </wp:inline>
        </w:drawing>
      </w:r>
    </w:p>
    <w:p>
      <w:pPr>
        <w:spacing w:after="260"/>
        <w:ind w:left="504" w:right="504"/>
      </w:pPr>
      <w:r>
        <w:rPr>
          <w:sz w:val="18"/>
          <w:szCs w:val="18"/>
        </w:rPr>
        <w:t xml:space="preserve">Fig. 3 Equivalence of the two feature maps is established in one configuration and inconclusive in the rest. Equivalence of the ZZ and product feature maps, each evaluated at its own optimal bandwidth (leave-one-fold-out selection). Points are mean ΔAUC across folds, bars are 95% confidence intervals, and the shaded band is the pre-registered ±0.01 margin. A filled marker denotes an interval contained within the margin. Parkinson intervals are approximately eighty times wider than SVD intervals, reflecting 4 folds over 8 control subjects against 10 folds over 1,315 speakers.</w:t>
      </w:r>
    </w:p>
    <w:p>
      <w:pPr>
        <w:spacing w:after="140"/>
        <w:jc w:val="both"/>
      </w:pPr>
      <w:r>
        <w:t xml:space="preserve">Averaged over the entire grid instead, the same differences would appear as −0.0146 to −0.0170, suggesting a systematic disadvantage of entanglement. The discrepancy between the two analyses is itself a methodological result, and is reported as such: averaging over bandwidths that no user would select penalises the map that degrades faster away from its optimum.</w:t>
      </w:r>
    </w:p>
    <w:p>
      <w:pPr>
        <w:pStyle w:val="Heading2"/>
        <w:spacing w:after="120" w:before="240"/>
      </w:pPr>
      <w:r>
        <w:t xml:space="preserve">3.5 Projected kernels</w:t>
      </w:r>
    </w:p>
    <w:p>
      <w:pPr>
        <w:spacing w:after="140"/>
        <w:jc w:val="both"/>
      </w:pPr>
      <w:r>
        <w:t xml:space="preserve">The projected kernel escapes concentration as predicted — minimum concentration thirty times larger (0.159 against 0.0053) and correlation with the surrogate falling from 0.964 to 0.850. This does not translate into performance: maximum AUC 0.6365 against 0.6445 for the fidelity kernel. Escaping concentration is evidently necessary but not sufficient.</w:t>
      </w:r>
    </w:p>
    <w:p>
      <w:pPr>
        <w:pStyle w:val="Heading2"/>
        <w:spacing w:after="120" w:before="240"/>
      </w:pPr>
      <w:r>
        <w:t xml:space="preserve">3.6 Fragility of the ad hoc benchmark</w:t>
      </w:r>
    </w:p>
    <w:p>
      <w:pPr>
        <w:spacing w:after="140"/>
        <w:jc w:val="both"/>
      </w:pPr>
      <w:r>
        <w:t xml:space="preserve">The ad hoc dataset is separable only at the bandwidth that reconstructs the generating encoding. The peak sits at the native scale with an advantage of +0.216; half of the peak survives only within roughly ±5% of that value; outside this window the advantage vanishes or reverses sign. A grid that does not contain the generating value reports a complete absence of advantage — this occurred in one of our own executions and is a silent failure mode for any work using this benchmark as evidence of quantum advantage.</w:t>
      </w:r>
    </w:p>
    <w:p>
      <w:pPr>
        <w:pStyle w:val="Heading2"/>
        <w:spacing w:after="120" w:before="240"/>
      </w:pPr>
      <w:r>
        <w:t xml:space="preserve">3.7 Sensitivity to the selection rule</w:t>
      </w:r>
    </w:p>
    <w:p>
      <w:pPr>
        <w:spacing w:after="140"/>
        <w:jc w:val="both"/>
      </w:pPr>
      <w:r>
        <w:t xml:space="preserve">In the Parkinson corpus at 8 qubits, the estimated advantage varies with the selection rule: +0.032 (leave-one-fold-out on quantum AUC, the rule adopted here), +0.038 (symmetric), +0.005 (training-set kernel–target alignment, the only rule that never inspects the test fold) and −0.101 (fixed bandwidth, no selection). Across 8 distinct partitions the median is 0.029 with amplitude 0.080, and 0 of 8 partitions exceed the null floor.</w:t>
      </w:r>
    </w:p>
    <w:p>
      <w:pPr>
        <w:spacing w:after="140"/>
        <w:jc w:val="both"/>
      </w:pPr>
      <w:r>
        <w:t xml:space="preserve">We report the range across rules with the principal rule declared. That the amplitude across partitions exceeds the advantage itself is the conclusion: the design does not resolve the effect in this corpus [20].</w:t>
      </w:r>
    </w:p>
    <w:p>
      <w:pPr>
        <w:pStyle w:val="Heading1"/>
        <w:spacing w:after="160" w:before="320"/>
      </w:pPr>
      <w:r>
        <w:t xml:space="preserve">4. Discussion</w:t>
      </w:r>
    </w:p>
    <w:p>
      <w:pPr>
        <w:spacing w:after="140"/>
        <w:jc w:val="both"/>
      </w:pPr>
      <w:r>
        <w:t xml:space="preserve">The contrast between the positive control and the real corpora is the central argument of this work, and it is quantitative rather than binary. What we call a detection floor is not a property of the protocol but of each dataset placed under it: 0.0075 AUC in the larger corpus, 0.0595 in the smaller, 0.167 in the synthetic construction. Reporting a single threshold, as an earlier version of this analysis did, understates by more than an order of magnitude what a well-powered corpus is able to resolve.</w:t>
      </w:r>
    </w:p>
    <w:p>
      <w:pPr>
        <w:spacing w:after="140"/>
        <w:jc w:val="both"/>
      </w:pPr>
      <w:r>
        <w:t xml:space="preserve">Three practical lessons follow for anyone building classical–quantum comparisons. The first concerns tuning. Bandwidth plays the role that γ plays in an RBF kernel, and leaving it out of the quantum side's tuning while the classical baseline is optimised produces a comparison whose result carries no information about the methods. The second concerns the unit of analysis. Repetitions that resample within the same folds narrow confidence intervals without adding information, and our own subgroup analysis shows how far this can go: two contrasts that survived multiplicity correction at the observation level dissolved once we aggregated by fold. The third, and the one we consider most consequential, is that a negative result means nothing until the design has been calibrated. Our synthetic control returns a false-positive rate of a quarter for an estimator that looks unbiased on inspection, which is a reminder that selection optimism is not visible without a null.</w:t>
      </w:r>
    </w:p>
    <w:p>
      <w:pPr>
        <w:spacing w:after="140"/>
        <w:jc w:val="both"/>
      </w:pPr>
      <w:r>
        <w:t xml:space="preserve">It is worth stating plainly that this audit requires no quantum hardware. There is no advantage claim here to be validated experimentally, and state-vector simulation is exact, so the quantum side in fact operates in its most favourable setting, free of shot noise. We expect this to be a reader's first objection and would rather answer it in advance.</w:t>
      </w:r>
    </w:p>
    <w:p>
      <w:pPr>
        <w:spacing w:after="140"/>
        <w:jc w:val="both"/>
      </w:pPr>
      <w:r>
        <w:t xml:space="preserve">A word on what we removed. An earlier version of this analysis read the lower point estimate of surrogate tracking in the Parkinson corpus as a regime effect and sought a mechanism for it. Once the uncertainty of each estimate is propagated, the intervals overlap and there is no difference to explain, which is also why neither candidate mechanism held. We have withdrawn that reading. It is a small illustration of the paper's own thesis: an apparent effect that disappears under its own error bars is exactly what a calibrated protocol is meant to catch, including when the authors were the ones who believed it.</w:t>
      </w:r>
    </w:p>
    <w:p>
      <w:pPr>
        <w:pStyle w:val="Heading1"/>
        <w:spacing w:after="160" w:before="320"/>
      </w:pPr>
      <w:r>
        <w:t xml:space="preserve">5. Limitations</w:t>
      </w:r>
    </w:p>
    <w:p>
      <w:pPr>
        <w:pStyle w:val="ListParagraph"/>
        <w:numPr>
          <w:ilvl w:val="0"/>
          <w:numId w:val="1"/>
        </w:numPr>
        <w:spacing w:after="100"/>
      </w:pPr>
      <w:r>
        <w:t xml:space="preserve">Dimensionality bottleneck: k = q features are selected, which depresses absolute AUC values. Classical baselines suffer the same cut, so the relative comparison remains valid, but the numbers are not comparable to work using the full feature set.</w:t>
      </w:r>
    </w:p>
    <w:p>
      <w:pPr>
        <w:pStyle w:val="ListParagraph"/>
        <w:numPr>
          <w:ilvl w:val="0"/>
          <w:numId w:val="1"/>
        </w:numPr>
        <w:spacing w:after="100"/>
      </w:pPr>
      <w:r>
        <w:t xml:space="preserve">A single ansatz (ZZ), a single depth (reps = 2), two kernel families.</w:t>
      </w:r>
    </w:p>
    <w:p>
      <w:pPr>
        <w:pStyle w:val="ListParagraph"/>
        <w:numPr>
          <w:ilvl w:val="0"/>
          <w:numId w:val="1"/>
        </w:numPr>
        <w:spacing w:after="100"/>
      </w:pPr>
      <w:r>
        <w:t xml:space="preserve">Two real corpora, which is too few to characterise how the protocol behaves across data regimes.</w:t>
      </w:r>
    </w:p>
    <w:p>
      <w:pPr>
        <w:pStyle w:val="ListParagraph"/>
        <w:numPr>
          <w:ilvl w:val="0"/>
          <w:numId w:val="1"/>
        </w:numPr>
        <w:spacing w:after="100"/>
      </w:pPr>
      <w:r>
        <w:t xml:space="preserve">Equivalence of the two feature maps is demonstrated in one of twelve configurations. The remaining eleven are inconclusive, and with these corpora we cannot distinguish an effect inside the margin from one the design cannot resolve.</w:t>
      </w:r>
    </w:p>
    <w:p>
      <w:pPr>
        <w:pStyle w:val="ListParagraph"/>
        <w:numPr>
          <w:ilvl w:val="0"/>
          <w:numId w:val="1"/>
        </w:numPr>
        <w:spacing w:after="100"/>
      </w:pPr>
      <w:r>
        <w:t xml:space="preserve">In the Parkinson corpus the detection floor exceeds every observed effect, so that corpus supports no conclusion about advantage in either direction.</w:t>
      </w:r>
    </w:p>
    <w:p>
      <w:pPr>
        <w:pStyle w:val="ListParagraph"/>
        <w:numPr>
          <w:ilvl w:val="0"/>
          <w:numId w:val="1"/>
        </w:numPr>
        <w:spacing w:after="100"/>
      </w:pPr>
      <w:r>
        <w:t xml:space="preserve">In the SVD the effective n is the number of speakers; in the Parkinson corpus, 8 control subjects against 24 — intervals are wide by construction of the corpus.</w:t>
      </w:r>
    </w:p>
    <w:p>
      <w:pPr>
        <w:pStyle w:val="ListParagraph"/>
        <w:numPr>
          <w:ilvl w:val="0"/>
          <w:numId w:val="1"/>
        </w:numPr>
        <w:spacing w:after="100"/>
      </w:pPr>
      <w:r>
        <w:t xml:space="preserve">The Parkinson file contains 32 subject codes while the UCI documentation describes 31 individuals; we report the number measured in the file.</w:t>
      </w:r>
    </w:p>
    <w:p>
      <w:pPr>
        <w:pStyle w:val="Heading1"/>
        <w:spacing w:after="160" w:before="320"/>
      </w:pPr>
      <w:r>
        <w:t xml:space="preserve">6. Conclusion</w:t>
      </w:r>
    </w:p>
    <w:p>
      <w:pPr>
        <w:spacing w:after="140"/>
        <w:jc w:val="both"/>
      </w:pPr>
      <w:r>
        <w:t xml:space="preserve">In the larger of the two corpora, where the design resolves differences of 0.0075 AUC, fidelity kernels over ZZ feature maps do not outperform a classical Gaussian surrogate fitted to their own Gram matrix. That is the one negative result we are willing to assert, and it is asserted at a resolution the design demonstrably achieves. In the smaller corpus the detection floor exceeds every effect we observed, so no conclusion follows from it. Equivalence of the entangling and product feature maps holds in a single qubit configuration and is inconclusive elsewhere, and we state it no more broadly than that.</w:t>
      </w:r>
    </w:p>
    <w:p>
      <w:pPr>
        <w:spacing w:after="140"/>
        <w:jc w:val="both"/>
      </w:pPr>
      <w:r>
        <w:t xml:space="preserve">The general recommendation does not depend on these particular corpora. Reports of quantum-kernel advantage should state the detection floor of their own design, because without one a positive result cannot be separated from selection optimism and a negative result cannot be separated from insensitivity. We applied that standard to our own claims in preparing this revision, and it cost us two of them.</w:t>
      </w:r>
    </w:p>
    <w:p>
      <w:pPr>
        <w:pStyle w:val="Heading1"/>
        <w:spacing w:after="160" w:before="320"/>
      </w:pPr>
      <w:r>
        <w:t xml:space="preserve">Declarations</w:t>
      </w:r>
    </w:p>
    <w:p>
      <w:pPr>
        <w:spacing w:after="140"/>
        <w:jc w:val="both"/>
      </w:pPr>
      <w:r>
        <w:t xml:space="preserve">Funding. [to complete — include CNPq/FAPERJ/CAPES process numbers where applicable]</w:t>
      </w:r>
    </w:p>
    <w:p>
      <w:pPr>
        <w:spacing w:after="140"/>
        <w:jc w:val="both"/>
      </w:pPr>
      <w:r>
        <w:t xml:space="preserve">Competing interests. The authors declare no competing interests.</w:t>
      </w:r>
    </w:p>
    <w:p>
      <w:pPr>
        <w:spacing w:after="140"/>
        <w:jc w:val="both"/>
      </w:pPr>
      <w:r>
        <w:t xml:space="preserve">Data availability. The Oxford Parkinson's dataset and the Breast Cancer Wisconsin dataset are publicly available from the UCI Machine Learning Repository. The Saarbrücken Voice Database is available from Universität des Saarlandes. Derived feature matrices are available from the corresponding author.</w:t>
      </w:r>
    </w:p>
    <w:p>
      <w:pPr>
        <w:spacing w:after="140"/>
        <w:jc w:val="both"/>
      </w:pPr>
      <w:r>
        <w:t xml:space="preserve">Code availability. All notebooks, the pre-registered decision rules and the raw per-cell results are available at [repository URL].</w:t>
      </w:r>
    </w:p>
    <w:p>
      <w:pPr>
        <w:spacing w:after="140"/>
        <w:jc w:val="both"/>
      </w:pPr>
      <w:r>
        <w:t xml:space="preserve">Author contributions. LAFM designed the audit protocol, implemented the experiments and drafted the manuscript. HDMJ contributed to the experimental design and to the statistical analysis. ECSB contributed to signal processing and feature extraction. MRK contributed to the machine-learning methodology and validation design. MACP supervised the work and contributed to the interpretation of results. All authors reviewed and approved the final manuscript.</w:t>
      </w:r>
    </w:p>
    <w:p>
      <w:pPr>
        <w:pStyle w:val="Heading1"/>
        <w:spacing w:after="160" w:before="320"/>
      </w:pPr>
      <w:r>
        <w:t xml:space="preserve">References</w:t>
      </w:r>
    </w:p>
    <w:p>
      <w:pPr>
        <w:spacing w:after="140"/>
        <w:jc w:val="both"/>
      </w:pPr>
      <w:r>
        <w:t xml:space="preserve">Springer numeric style. Entries marked [v] had volume, pages and DOI verified against the publisher or an indexing service; the remainder come from the author's own check and should be confirmed once more at proof stage.</w:t>
      </w:r>
    </w:p>
    <w:p>
      <w:pPr>
        <w:spacing w:after="60"/>
        <w:ind w:left="576" w:hanging="576"/>
      </w:pPr>
      <w:r>
        <w:t xml:space="preserve">Havlíček V, Córcoles AD, Temme K, Harrow AW, Kandala A, Chow JM, Gambetta JM (2019) Supervised learning with quantum-enhanced feature spaces. Nature 567:209–212.</w:t>
      </w:r>
    </w:p>
    <w:p>
      <w:pPr>
        <w:spacing w:after="60"/>
        <w:ind w:left="576" w:hanging="576"/>
      </w:pPr>
      <w:r>
        <w:t xml:space="preserve">Schuld M, Killoran N (2019) Quantum machine learning in feature Hilbert spaces. Phys Rev Lett 122:040504.</w:t>
      </w:r>
    </w:p>
    <w:p>
      <w:pPr>
        <w:spacing w:after="60"/>
        <w:ind w:left="576" w:hanging="576"/>
      </w:pPr>
      <w:r>
        <w:t xml:space="preserve">Schuld M (2021) Supervised quantum machine learning models are kernel methods. arXiv:2101.11020. [v]</w:t>
      </w:r>
    </w:p>
    <w:p>
      <w:pPr>
        <w:spacing w:after="60"/>
        <w:ind w:left="576" w:hanging="576"/>
      </w:pPr>
      <w:r>
        <w:t xml:space="preserve">Liu Y, Arunachalam S, Temme K (2021) A rigorous and robust quantum speed-up in supervised machine learning. Nat Phys 17:1013–1017.</w:t>
      </w:r>
    </w:p>
    <w:p>
      <w:pPr>
        <w:spacing w:after="60"/>
        <w:ind w:left="576" w:hanging="576"/>
      </w:pPr>
      <w:r>
        <w:t xml:space="preserve">Pérez-Salinas A, Cervera-Lierta A, Gil-Fuster E, Latorre JI (2020) Data re-uploading for a universal quantum classifier. Quantum 4:226.</w:t>
      </w:r>
    </w:p>
    <w:p>
      <w:pPr>
        <w:spacing w:after="60"/>
        <w:ind w:left="576" w:hanging="576"/>
      </w:pPr>
      <w:r>
        <w:t xml:space="preserve">Huang H-Y, Broughton M, Mohseni M, Babbush R, Boixo S, Neven H, McClean JR (2021) Power of data in quantum machine learning. Nat Commun 12:2631.</w:t>
      </w:r>
    </w:p>
    <w:p>
      <w:pPr>
        <w:spacing w:after="60"/>
        <w:ind w:left="576" w:hanging="576"/>
      </w:pPr>
      <w:r>
        <w:t xml:space="preserve">Thanasilp S, Wang S, Cerezo M, Holmes Z (2024) Exponential concentration in quantum kernel methods. Nat Commun 15:5200. https://doi.org/10.1038/s41467-024-49287-w [v]</w:t>
      </w:r>
    </w:p>
    <w:p>
      <w:pPr>
        <w:spacing w:after="60"/>
        <w:ind w:left="576" w:hanging="576"/>
      </w:pPr>
      <w:r>
        <w:t xml:space="preserve">Kübler JM, Buchholz S, Schölkopf B (2021) The inductive bias of quantum kernels. In: Advances in Neural Information Processing Systems 34.</w:t>
      </w:r>
    </w:p>
    <w:p>
      <w:pPr>
        <w:spacing w:after="60"/>
        <w:ind w:left="576" w:hanging="576"/>
      </w:pPr>
      <w:r>
        <w:t xml:space="preserve">Cerezo M, Sone A, Volkoff T, Cincio L, Coles PJ (2021) Cost function dependent barren plateaus in shallow parametrized quantum circuits. Nat Commun 12:1791.</w:t>
      </w:r>
    </w:p>
    <w:p>
      <w:pPr>
        <w:spacing w:after="60"/>
        <w:ind w:left="576" w:hanging="576"/>
      </w:pPr>
      <w:r>
        <w:t xml:space="preserve">Shaydulin R, Wild SM (2022) Importance of kernel bandwidth in quantum machine learning. Phys Rev A 106:042407. [v]</w:t>
      </w:r>
    </w:p>
    <w:p>
      <w:pPr>
        <w:spacing w:after="60"/>
        <w:ind w:left="576" w:hanging="576"/>
      </w:pPr>
      <w:r>
        <w:t xml:space="preserve">Canatar A, Peters E, Pehlevan C, Wild SM, Shaydulin R (2023) Bandwidth enables generalization in quantum kernel models. Transactions on Machine Learning Research. arXiv:2206.06686 [v]</w:t>
      </w:r>
    </w:p>
    <w:p>
      <w:pPr>
        <w:spacing w:after="60"/>
        <w:ind w:left="576" w:hanging="576"/>
      </w:pPr>
      <w:r>
        <w:t xml:space="preserve">Schreiber FJ, Eisert J, Meyer JJ (2023) Classical surrogates for quantum learning models. Phys Rev Lett 131:100803. [v]</w:t>
      </w:r>
    </w:p>
    <w:p>
      <w:pPr>
        <w:spacing w:after="60"/>
        <w:ind w:left="576" w:hanging="576"/>
      </w:pPr>
      <w:r>
        <w:t xml:space="preserve">Landman J, Thabet S, Dalyac C, Mhiri H, Kashefi E (2023) Classically approximating variational quantum machine learning with random Fourier features. In: International Conference on Learning Representations. [v]</w:t>
      </w:r>
    </w:p>
    <w:p>
      <w:pPr>
        <w:spacing w:after="60"/>
        <w:ind w:left="576" w:hanging="576"/>
      </w:pPr>
      <w:r>
        <w:t xml:space="preserve">Sweke R, Recio E, Jerbi S, Gil-Fuster E, Fuller B, Eisert J, Meyer JJ (2023) Potential and limitations of random Fourier features for dequantizing quantum machine learning. arXiv:2309.11647 [v]</w:t>
      </w:r>
    </w:p>
    <w:p>
      <w:pPr>
        <w:spacing w:after="60"/>
        <w:ind w:left="576" w:hanging="576"/>
      </w:pPr>
      <w:r>
        <w:t xml:space="preserve">Shin S, Teo YS, Jeong H (2024) Dequantizing quantum machine learning models using tensor networks. Phys Rev Research 6:023218. [v]</w:t>
      </w:r>
    </w:p>
    <w:p>
      <w:pPr>
        <w:spacing w:after="60"/>
        <w:ind w:left="576" w:hanging="576"/>
      </w:pPr>
      <w:r>
        <w:t xml:space="preserve">Rahimi A, Recht B (2007) Random features for large-scale kernel machines. In: Advances in Neural Information Processing Systems 20.</w:t>
      </w:r>
    </w:p>
    <w:p>
      <w:pPr>
        <w:spacing w:after="60"/>
        <w:ind w:left="576" w:hanging="576"/>
      </w:pPr>
      <w:r>
        <w:t xml:space="preserve">Cawley GC, Talbot NLC (2010) On over-fitting in model selection and subsequent selection bias in performance evaluation. J Mach Learn Res 11(70):2079–2107. [v]</w:t>
      </w:r>
    </w:p>
    <w:p>
      <w:pPr>
        <w:spacing w:after="60"/>
        <w:ind w:left="576" w:hanging="576"/>
      </w:pPr>
      <w:r>
        <w:t xml:space="preserve">Varma S, Simon R (2006) Bias in error estimation when using cross-validation for model selection. BMC Bioinformatics 7:91.</w:t>
      </w:r>
    </w:p>
    <w:p>
      <w:pPr>
        <w:spacing w:after="60"/>
        <w:ind w:left="576" w:hanging="576"/>
      </w:pPr>
      <w:r>
        <w:t xml:space="preserve">Demšar J (2006) Statistical comparisons of classifiers over multiple data sets. J Mach Learn Res 7:1–30.</w:t>
      </w:r>
    </w:p>
    <w:p>
      <w:pPr>
        <w:spacing w:after="60"/>
        <w:ind w:left="576" w:hanging="576"/>
      </w:pPr>
      <w:r>
        <w:t xml:space="preserve">Bouthillier X, Delaunay P, Bronzi M, et al (2021) Accounting for variance in machine learning benchmarks. In: Proceedings of Machine Learning and Systems 3.</w:t>
      </w:r>
    </w:p>
    <w:p>
      <w:pPr>
        <w:spacing w:after="60"/>
        <w:ind w:left="576" w:hanging="576"/>
      </w:pPr>
      <w:r>
        <w:t xml:space="preserve">Lakens D (2017) Equivalence tests: a practical primer for t tests, correlations, and meta-analyses. Soc Psychol Personal Sci 8(4):355–362.</w:t>
      </w:r>
    </w:p>
    <w:p>
      <w:pPr>
        <w:spacing w:after="60"/>
        <w:ind w:left="576" w:hanging="576"/>
      </w:pPr>
      <w:r>
        <w:t xml:space="preserve">Holm S (1979) A simple sequentially rejective multiple test procedure. Scand J Stat 6(2):65–70.</w:t>
      </w:r>
    </w:p>
    <w:p>
      <w:pPr>
        <w:spacing w:after="60"/>
        <w:ind w:left="576" w:hanging="576"/>
      </w:pPr>
      <w:r>
        <w:t xml:space="preserve">Hurlbert SH (1984) Pseudoreplication and the design of ecological field experiments. Ecol Monogr 54(2):187–211.</w:t>
      </w:r>
    </w:p>
    <w:p>
      <w:pPr>
        <w:spacing w:after="60"/>
        <w:ind w:left="576" w:hanging="576"/>
      </w:pPr>
      <w:r>
        <w:t xml:space="preserve">Barry WJ, Pützer M Saarbrücken Voice Database. Institut für Phonetik, Universität des Saarlandes. http://www.stimmdatenbank.coli.uni-saarland.de</w:t>
      </w:r>
    </w:p>
    <w:p>
      <w:pPr>
        <w:spacing w:after="60"/>
        <w:ind w:left="576" w:hanging="576"/>
      </w:pPr>
      <w:r>
        <w:t xml:space="preserve">Little MA, McSharry PE, Hunter EJ, Spielman J, Ramig LO (2009) Suitability of dysphonia measurements for telemonitoring of Parkinson's disease. IEEE Trans Biomed Eng 56(4):1015–1022.</w:t>
      </w:r>
    </w:p>
    <w:p>
      <w:pPr>
        <w:spacing w:after="60"/>
        <w:ind w:left="576" w:hanging="576"/>
      </w:pPr>
      <w:r>
        <w:t xml:space="preserve">Street WN, Wolberg WH, Mangasarian OL (1993) Nuclear feature extraction for breast tumor diagnosis. In: IS&amp;T/SPIE International Symposium on Electronic Imaging: Science and Technology, vol 1905, pp 861–870.</w:t>
      </w:r>
    </w:p>
    <w:p>
      <w:pPr>
        <w:spacing w:after="60"/>
        <w:ind w:left="576" w:hanging="576"/>
      </w:pPr>
      <w:r>
        <w:t xml:space="preserve">Boersma P, Weenink D Praat: doing phonetics by computer. http://www.praat.org</w:t>
      </w:r>
    </w:p>
    <w:p>
      <w:pPr>
        <w:spacing w:after="60"/>
        <w:ind w:left="576" w:hanging="576"/>
      </w:pPr>
      <w:r>
        <w:t xml:space="preserve">McFee B, Raffel C, Liang D, Ellis DPW, McVicar M, Battenberg E, Nieto O (2015) librosa: audio and music signal analysis in Python. In: Proceedings of the 14th Python in Science Conference, pp 18–25.</w:t>
      </w:r>
    </w:p>
    <w:p>
      <w:pPr>
        <w:spacing w:after="60"/>
        <w:ind w:left="576" w:hanging="576"/>
      </w:pPr>
      <w:r>
        <w:t xml:space="preserve">Bergholm V, Izaac J, Schuld M, et al (2018) PennyLane: automatic differentiation of hybrid quantum-classical computations. arXiv:1811.04968.</w:t>
      </w:r>
    </w:p>
    <w:p>
      <w:pPr>
        <w:spacing w:after="60"/>
        <w:ind w:left="576" w:hanging="576"/>
      </w:pPr>
      <w:r>
        <w:t xml:space="preserve">Pedregosa F, Varoquaux G, Gramfort A, et al (2011) Scikit-learn: machine learning in Python. J Mach Learn Res 12:2825–2830.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afd7e225cfe88a47e61f2985366134ac67531d.png"/><Relationship Id="rId9" Type="http://schemas.openxmlformats.org/officeDocument/2006/relationships/image" Target="media/b060e79f9c8d8d0ec71e9732b02823cd01d3ff26.png"/><Relationship Id="rId10" Type="http://schemas.openxmlformats.org/officeDocument/2006/relationships/image" Target="media/bba15392f0bfbfd154881f21a3a2e6091dd5c83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calibrated fair-comparison audit of quantum kernels</dc:title>
  <dc:creator>Leonardo A. Forero Mendoza</dc:creator>
  <cp:lastModifiedBy>Un-named</cp:lastModifiedBy>
  <cp:revision>1</cp:revision>
  <dcterms:created xsi:type="dcterms:W3CDTF">2026-10-12T15:41:44.474Z</dcterms:created>
  <dcterms:modified xsi:type="dcterms:W3CDTF">2026-10-12T15:41:44.479Z</dcterms:modified>
</cp:coreProperties>
</file>

<file path=docProps/custom.xml><?xml version="1.0" encoding="utf-8"?>
<Properties xmlns="http://schemas.openxmlformats.org/officeDocument/2006/custom-properties" xmlns:vt="http://schemas.openxmlformats.org/officeDocument/2006/docPropsVTypes"/>
</file>