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8.wmf" ContentType="image/x-wmf"/>
  <Override PartName="/word/media/image7.png" ContentType="image/png"/>
  <Override PartName="/word/media/image6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Definición de estadística</w:t>
      </w:r>
      <w:r>
        <w:rPr>
          <w:rFonts w:ascii="Arial Narrow" w:hAnsi="Arial Narrow"/>
          <w:b/>
          <w:bCs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sz w:val="22"/>
          <w:szCs w:val="22"/>
        </w:rPr>
        <w:t>recopilación, presentación, análisis e interpretación de datos numéricos extraídos de un conjunto de individuos, que nos permiten formular conclusiones válidas, efectuar decisiones lógicas basadas en dicho análisis y extender los resultados desde un grupo pequeño hacia una población.</w:t>
      </w:r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iCs/>
          <w:sz w:val="22"/>
          <w:szCs w:val="22"/>
        </w:rPr>
        <w:t>Estadística descriptiva</w:t>
      </w:r>
      <w:r>
        <w:rPr>
          <w:rFonts w:ascii="Arial Narrow" w:hAnsi="Arial Narrow"/>
          <w:sz w:val="22"/>
          <w:szCs w:val="22"/>
        </w:rPr>
        <w:t>: se refiere al conjunto de técnicas que se ocupan de, interpretar los resultados numéricos, elaborar tablas y gráficos explicativos y, posteriormente inferir parámetros estadísticos que caracterizan al conjunto total de datos recolectados.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iCs/>
          <w:sz w:val="22"/>
          <w:szCs w:val="22"/>
        </w:rPr>
        <w:t>Estadística inferencial</w:t>
      </w:r>
      <w:r>
        <w:rPr>
          <w:rFonts w:ascii="Arial Narrow" w:hAnsi="Arial Narrow"/>
          <w:sz w:val="22"/>
          <w:szCs w:val="22"/>
        </w:rPr>
        <w:t>: trata de la generalización hacia las poblaciones de los resultados obtenidos en las muestras y de las condiciones bajo las cuales estas conclusiones son válidas.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center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  <w:u w:val="single"/>
        </w:rPr>
        <w:t>Términos frecuentemente utilizados en estadística</w:t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Población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iCs/>
          <w:sz w:val="22"/>
          <w:szCs w:val="22"/>
        </w:rPr>
        <w:t>conjunto de todos los elementos que cumplen una determinada característica, que deseamos medir o estudiar.</w:t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Muestra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iCs/>
          <w:sz w:val="22"/>
          <w:szCs w:val="22"/>
        </w:rPr>
        <w:t>cualquier subconjunto de la población.</w:t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Unidad estadística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iCs/>
          <w:sz w:val="22"/>
          <w:szCs w:val="22"/>
        </w:rPr>
        <w:t>cada individuo de una población.</w:t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Carácter estadístico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iCs/>
          <w:sz w:val="22"/>
          <w:szCs w:val="22"/>
        </w:rPr>
        <w:t>cada una de las propiedades o aspectos que pueden estudiarse en los individuos de una población.</w:t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Carácter estadístico cualitativo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sz w:val="22"/>
          <w:szCs w:val="22"/>
        </w:rPr>
        <w:t>es aquel no susceptible de ser medido ni contado.</w:t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</w:r>
    </w:p>
    <w:p>
      <w:pPr>
        <w:pStyle w:val="Standard"/>
        <w:ind w:left="709" w:hanging="0"/>
        <w:jc w:val="both"/>
        <w:rPr>
          <w:rFonts w:ascii="Arial Narrow" w:hAnsi="Arial Narrow"/>
          <w:sz w:val="22"/>
          <w:szCs w:val="22"/>
        </w:rPr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  <w:u w:val="single"/>
        </w:rPr>
        <w:t>Escalas nominales:</w:t>
      </w:r>
      <w:r>
        <w:rPr>
          <w:rFonts w:ascii="Arial Narrow" w:hAnsi="Arial Narrow"/>
          <w:sz w:val="22"/>
          <w:szCs w:val="22"/>
        </w:rPr>
        <w:t xml:space="preserve"> ésta es una forma de observar o medir en la que los datos se ajustan por categorías que no mantienen una relación de orden entre sí (color de los ojos, religión, profesión).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09" w:hanging="0"/>
        <w:jc w:val="both"/>
        <w:rPr>
          <w:rFonts w:ascii="Arial Narrow" w:hAnsi="Arial Narrow"/>
          <w:sz w:val="22"/>
          <w:szCs w:val="22"/>
        </w:rPr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  <w:u w:val="single"/>
        </w:rPr>
        <w:t>Escalas ordinales:</w:t>
      </w:r>
      <w:r>
        <w:rPr>
          <w:rFonts w:ascii="Arial Narrow" w:hAnsi="Arial Narrow"/>
          <w:sz w:val="22"/>
          <w:szCs w:val="22"/>
        </w:rPr>
        <w:t xml:space="preserve"> en las escalas utilizadas, existe un cierto orden o jerarquía entre las categorías (grados de fatiga, estado de un tumor).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Carácter estadístico cuantitativo</w:t>
      </w:r>
      <w:r>
        <w:rPr>
          <w:rFonts w:ascii="Arial Narrow" w:hAnsi="Arial Narrow"/>
          <w:sz w:val="22"/>
          <w:szCs w:val="22"/>
        </w:rPr>
        <w:t>: es el que surge de un proceso de medición o conteo.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 xml:space="preserve">Posee carácter </w:t>
      </w:r>
      <w:r>
        <w:rPr>
          <w:rFonts w:ascii="Arial Narrow" w:hAnsi="Arial Narrow"/>
          <w:b/>
          <w:sz w:val="22"/>
          <w:szCs w:val="22"/>
        </w:rPr>
        <w:t xml:space="preserve">cuantitativo discreto </w:t>
      </w:r>
      <w:r>
        <w:rPr>
          <w:rFonts w:ascii="Arial Narrow" w:hAnsi="Arial Narrow"/>
          <w:sz w:val="22"/>
          <w:szCs w:val="22"/>
        </w:rPr>
        <w:t>si entre dos valores consecutivos del mismo no puede existir un valor intermedio.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 xml:space="preserve">Posee carácter </w:t>
      </w:r>
      <w:r>
        <w:rPr>
          <w:rFonts w:ascii="Arial Narrow" w:hAnsi="Arial Narrow"/>
          <w:b/>
          <w:sz w:val="22"/>
          <w:szCs w:val="22"/>
        </w:rPr>
        <w:t xml:space="preserve">cuantitativo continuo </w:t>
      </w:r>
      <w:r>
        <w:rPr>
          <w:rFonts w:ascii="Arial Narrow" w:hAnsi="Arial Narrow"/>
          <w:sz w:val="22"/>
          <w:szCs w:val="22"/>
        </w:rPr>
        <w:t>si entre dos valores cualesquiera de su recorrido puede existir siempre uno intermedio.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Serie o distribución de frecuencias</w:t>
      </w:r>
      <w:r>
        <w:rPr>
          <w:rFonts w:ascii="Arial Narrow" w:hAnsi="Arial Narrow"/>
          <w:sz w:val="22"/>
          <w:szCs w:val="22"/>
        </w:rPr>
        <w:t>: es la correspondencia que hay entre cada valor de la variable (que se denomina solamente variable para la variable discreta y clase para variables continuas) y su respectivo número de observaciones o frecuencias.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center"/>
        <w:rPr>
          <w:rFonts w:ascii="Arial Narrow" w:hAnsi="Arial Narrow"/>
          <w:sz w:val="22"/>
          <w:szCs w:val="22"/>
          <w:u w:val="single"/>
        </w:rPr>
      </w:pPr>
      <w:r>
        <w:rPr/>
      </w:r>
      <w:r>
        <w:br w:type="page"/>
      </w:r>
    </w:p>
    <w:p>
      <w:pPr>
        <w:pStyle w:val="Standard"/>
        <w:jc w:val="center"/>
        <w:rPr/>
      </w:pPr>
      <w:r>
        <w:rPr>
          <w:rFonts w:ascii="Arial Narrow" w:hAnsi="Arial Narrow"/>
          <w:sz w:val="22"/>
          <w:szCs w:val="22"/>
          <w:u w:val="single"/>
        </w:rPr>
        <w:t>Tipos de frecuencia</w:t>
      </w:r>
    </w:p>
    <w:p>
      <w:pPr>
        <w:pStyle w:val="Standard"/>
        <w:jc w:val="both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absolutas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-</w:t>
      </w:r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bCs/>
          <w:iCs/>
          <w:sz w:val="22"/>
          <w:szCs w:val="22"/>
        </w:rPr>
        <w:t>A)</w:t>
      </w:r>
      <w:r>
        <w:rPr>
          <w:rFonts w:ascii="Arial Narrow" w:hAnsi="Arial Narrow"/>
          <w:sz w:val="22"/>
          <w:szCs w:val="22"/>
        </w:rPr>
        <w:t>: número total de observaciones que pertenecen a cada clase o categoría.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relativas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ir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-</w:t>
      </w:r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bCs/>
          <w:iCs/>
          <w:sz w:val="22"/>
          <w:szCs w:val="22"/>
        </w:rPr>
        <w:t>R)</w:t>
      </w:r>
      <w:r>
        <w:rPr>
          <w:rFonts w:ascii="Arial Narrow" w:hAnsi="Arial Narrow"/>
          <w:sz w:val="22"/>
          <w:szCs w:val="22"/>
        </w:rPr>
        <w:t xml:space="preserve">: relación entre la frecuencia absoluta de cada modalidad y el número total de observaciones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ir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  <w:r>
        <w:rPr>
          <w:rFonts w:ascii="Arial Narrow" w:hAnsi="Arial Narrow"/>
          <w:sz w:val="22"/>
          <w:szCs w:val="22"/>
        </w:rPr>
        <w:t xml:space="preserve"> ; siendo </w:t>
      </w:r>
      <w:r>
        <w:rPr>
          <w:rFonts w:ascii="Cambria Math" w:hAnsi="Cambria Math"/>
          <w:sz w:val="22"/>
          <w:szCs w:val="22"/>
        </w:rPr>
        <w:t>n</w:t>
      </w:r>
      <w:r>
        <w:rPr>
          <w:rFonts w:ascii="Arial Narrow" w:hAnsi="Arial Narrow"/>
          <w:sz w:val="22"/>
          <w:szCs w:val="22"/>
        </w:rPr>
        <w:t xml:space="preserve"> el número total de casos.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relativas porcentuales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ir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%</m:t>
        </m:r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-</w:t>
      </w:r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bCs/>
          <w:iCs/>
          <w:sz w:val="22"/>
          <w:szCs w:val="22"/>
        </w:rPr>
        <w:t>RP)</w:t>
      </w:r>
      <w:r>
        <w:rPr>
          <w:rFonts w:ascii="Arial Narrow" w:hAnsi="Arial Narrow"/>
          <w:sz w:val="22"/>
          <w:szCs w:val="22"/>
        </w:rPr>
        <w:t>: expresión porcentual de la frecuencia relativa.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acumuladas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-</w:t>
      </w:r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K</w:t>
      </w:r>
      <w:r>
        <w:rPr>
          <w:rFonts w:ascii="Arial Narrow" w:hAnsi="Arial Narrow"/>
          <w:b/>
          <w:bCs/>
          <w:iCs/>
          <w:sz w:val="22"/>
          <w:szCs w:val="22"/>
        </w:rPr>
        <w:t>):</w:t>
      </w:r>
      <w:r>
        <w:rPr>
          <w:rFonts w:ascii="Arial Narrow" w:hAnsi="Arial Narrow"/>
          <w:sz w:val="22"/>
          <w:szCs w:val="22"/>
        </w:rPr>
        <w:t xml:space="preserve"> es la suma de las frecuencias absolutas hasta un determinado valor de la variable inclusive.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= </w:t>
      </w: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k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nary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acumuladas relativas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kr</m:t>
            </m:r>
          </m:sub>
        </m:sSub>
      </m:oMath>
      <w:r>
        <w:rPr>
          <w:rFonts w:ascii="Arial Narrow" w:hAnsi="Arial Narrow"/>
          <w:b/>
          <w:bCs/>
          <w:iCs/>
          <w:sz w:val="22"/>
          <w:szCs w:val="22"/>
        </w:rPr>
        <w:t xml:space="preserve"> - KR):</w:t>
      </w:r>
      <w:r>
        <w:rPr>
          <w:rFonts w:ascii="Arial Narrow" w:hAnsi="Arial Narrow"/>
          <w:sz w:val="22"/>
          <w:szCs w:val="22"/>
        </w:rPr>
        <w:t xml:space="preserve"> es la relación entre las frecuencias acumuladas y el número total de casos.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kr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Frecuencias acumuladas relativas porcentuales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kr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%</m:t>
        </m:r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b/>
          <w:sz w:val="22"/>
          <w:szCs w:val="22"/>
        </w:rPr>
        <w:t>-</w:t>
      </w:r>
      <w:r>
        <w:rPr>
          <w:rFonts w:ascii="Arial Narrow" w:hAnsi="Arial Narrow"/>
          <w:b/>
          <w:bCs/>
          <w:iCs/>
          <w:sz w:val="22"/>
          <w:szCs w:val="22"/>
        </w:rPr>
        <w:t xml:space="preserve"> KRP):</w:t>
      </w:r>
      <w:r>
        <w:rPr>
          <w:rFonts w:ascii="Arial Narrow" w:hAnsi="Arial Narrow"/>
          <w:sz w:val="22"/>
          <w:szCs w:val="22"/>
        </w:rPr>
        <w:t xml:space="preserve"> expresión porcentual de la frecuencia relativa acumulada.</w:t>
      </w:r>
    </w:p>
    <w:p>
      <w:pPr>
        <w:pStyle w:val="Standard"/>
        <w:jc w:val="both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  <w:t>Distribución de frecuencias para la variable cualitativa</w:t>
      </w:r>
      <w:r>
        <w:rPr>
          <w:rFonts w:ascii="Arial Narrow" w:hAnsi="Arial Narrow"/>
          <w:sz w:val="22"/>
          <w:szCs w:val="22"/>
        </w:rPr>
        <w:t xml:space="preserve">: </w:t>
      </w:r>
      <w:r>
        <w:rPr>
          <w:rFonts w:ascii="Arial Narrow" w:hAnsi="Arial Narrow"/>
          <w:b/>
          <w:sz w:val="22"/>
          <w:szCs w:val="22"/>
        </w:rPr>
        <w:t>A-R-RP</w:t>
      </w:r>
    </w:p>
    <w:p>
      <w:pPr>
        <w:pStyle w:val="Standard"/>
        <w:jc w:val="both"/>
        <w:rPr>
          <w:rFonts w:ascii="Arial Narrow" w:hAnsi="Arial Narrow"/>
          <w:b/>
          <w:b/>
          <w:sz w:val="22"/>
          <w:szCs w:val="22"/>
        </w:rPr>
      </w:pPr>
      <w:r>
        <w:rPr>
          <w:rFonts w:ascii="Arial Narrow" w:hAnsi="Arial Narrow"/>
          <w:sz w:val="22"/>
          <w:szCs w:val="22"/>
          <w:u w:val="single"/>
        </w:rPr>
        <w:t>Distribución de frecuencias para la variable cuantitativa discreta</w:t>
      </w:r>
      <w:r>
        <w:rPr>
          <w:rFonts w:ascii="Arial Narrow" w:hAnsi="Arial Narrow"/>
          <w:sz w:val="22"/>
          <w:szCs w:val="22"/>
        </w:rPr>
        <w:t xml:space="preserve">: </w:t>
      </w:r>
      <w:r>
        <w:rPr>
          <w:rFonts w:ascii="Arial Narrow" w:hAnsi="Arial Narrow"/>
          <w:b/>
          <w:sz w:val="22"/>
          <w:szCs w:val="22"/>
        </w:rPr>
        <w:t>A-R-RP-K-KR-KRP</w:t>
      </w:r>
    </w:p>
    <w:p>
      <w:pPr>
        <w:pStyle w:val="Standard"/>
        <w:jc w:val="both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  <w:t>Distribución de frecuencias para la variable cuantitativa continua:</w:t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Rango</w:t>
      </w:r>
      <w:r>
        <w:rPr>
          <w:rFonts w:ascii="Arial Narrow" w:hAnsi="Arial Narrow"/>
          <w:sz w:val="22"/>
          <w:szCs w:val="22"/>
        </w:rPr>
        <w:t xml:space="preserve">: diferencia entre la máxima observación y la mínima: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iCs/>
          <w:sz w:val="22"/>
          <w:szCs w:val="22"/>
        </w:rPr>
        <w:t>Recorrido</w:t>
      </w:r>
      <w:r>
        <w:rPr>
          <w:rFonts w:ascii="Arial Narrow" w:hAnsi="Arial Narrow"/>
          <w:i/>
          <w:iCs/>
          <w:sz w:val="22"/>
          <w:szCs w:val="22"/>
        </w:rPr>
        <w:t xml:space="preserve">: </w:t>
      </w:r>
      <w:r>
        <w:rPr>
          <w:rFonts w:ascii="Arial Narrow" w:hAnsi="Arial Narrow"/>
          <w:iCs/>
          <w:sz w:val="22"/>
          <w:szCs w:val="22"/>
        </w:rPr>
        <w:t>el</w:t>
      </w:r>
      <w:r>
        <w:rPr>
          <w:rFonts w:ascii="Arial Narrow" w:hAnsi="Arial Narrow"/>
          <w:sz w:val="22"/>
          <w:szCs w:val="22"/>
        </w:rPr>
        <w:t xml:space="preserve"> intervalo que va de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</m:oMath>
      <w:r>
        <w:rPr>
          <w:rFonts w:ascii="Arial Narrow" w:hAnsi="Arial Narrow"/>
          <w:sz w:val="22"/>
          <w:szCs w:val="22"/>
        </w:rPr>
        <w:t>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Intervalos</w:t>
      </w:r>
      <w:r>
        <w:rPr>
          <w:rFonts w:ascii="Arial Narrow" w:hAnsi="Arial Narrow"/>
          <w:b/>
          <w:bCs/>
          <w:i/>
          <w:iCs/>
          <w:sz w:val="22"/>
          <w:szCs w:val="22"/>
        </w:rPr>
        <w:t xml:space="preserve"> </w:t>
      </w:r>
      <w:r>
        <w:rPr>
          <w:rFonts w:ascii="Arial Narrow" w:hAnsi="Arial Narrow"/>
          <w:b/>
          <w:bCs/>
          <w:iCs/>
          <w:sz w:val="22"/>
          <w:szCs w:val="22"/>
        </w:rPr>
        <w:t>de</w:t>
      </w:r>
      <w:r>
        <w:rPr>
          <w:rFonts w:ascii="Arial Narrow" w:hAnsi="Arial Narrow"/>
          <w:b/>
          <w:bCs/>
          <w:i/>
          <w:iCs/>
          <w:sz w:val="22"/>
          <w:szCs w:val="22"/>
        </w:rPr>
        <w:t xml:space="preserve"> </w:t>
      </w:r>
      <w:r>
        <w:rPr>
          <w:rFonts w:ascii="Arial Narrow" w:hAnsi="Arial Narrow"/>
          <w:b/>
          <w:bCs/>
          <w:iCs/>
          <w:sz w:val="22"/>
          <w:szCs w:val="22"/>
        </w:rPr>
        <w:t>clase:</w:t>
      </w:r>
      <w:r>
        <w:rPr>
          <w:rFonts w:ascii="Arial Narrow" w:hAnsi="Arial Narrow"/>
          <w:sz w:val="22"/>
          <w:szCs w:val="22"/>
        </w:rPr>
        <w:t xml:space="preserve"> se llama de esta manera a cada uno de los sub-intervalos en que queda dividido el recorrido.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Número de intervalos de clase:</w:t>
      </w:r>
      <w:r>
        <w:rPr>
          <w:rFonts w:ascii="Arial Narrow" w:hAnsi="Arial Narrow"/>
          <w:sz w:val="22"/>
          <w:szCs w:val="22"/>
        </w:rPr>
        <w:t xml:space="preserve">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n</m:t>
            </m:r>
          </m:e>
        </m:rad>
      </m:oMath>
      <w:r>
        <w:rPr>
          <w:rFonts w:ascii="Arial Narrow" w:hAnsi="Arial Narrow"/>
          <w:sz w:val="22"/>
          <w:szCs w:val="22"/>
        </w:rPr>
        <w:t xml:space="preserve">  ;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,3</m:t>
        </m:r>
        <m:r>
          <w:rPr>
            <w:rFonts w:ascii="Cambria Math" w:hAnsi="Cambria Math"/>
          </w:rPr>
          <m:t xml:space="preserve">ln</m:t>
        </m:r>
        <m:r>
          <w:rPr>
            <w:rFonts w:ascii="Cambria Math" w:hAnsi="Cambria Math"/>
          </w:rPr>
          <m:t xml:space="preserve">⁡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Amplitud o tamaño de clase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</m:t>
            </m:r>
          </m:num>
          <m:den>
            <m:r>
              <w:rPr>
                <w:rFonts w:ascii="Cambria Math" w:hAnsi="Cambria Math"/>
              </w:rPr>
              <m:t xml:space="preserve">K</m:t>
            </m:r>
          </m:den>
        </m:f>
      </m:oMath>
      <w:r>
        <w:rPr>
          <w:rFonts w:ascii="Arial Narrow" w:hAnsi="Arial Narrow"/>
          <w:b/>
          <w:bCs/>
          <w:iCs/>
          <w:sz w:val="22"/>
          <w:szCs w:val="22"/>
        </w:rPr>
        <w:t>):</w:t>
      </w:r>
      <w:r>
        <w:rPr>
          <w:rFonts w:ascii="Arial Narrow" w:hAnsi="Arial Narrow"/>
          <w:b/>
          <w:bCs/>
          <w:i/>
          <w:iCs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>la amplitud se obtiene efectuando el cociente entre el rango y el número de intervalos considerados.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Límites de clase:</w:t>
      </w:r>
      <w:r>
        <w:rPr>
          <w:rFonts w:ascii="Arial Narrow" w:hAnsi="Arial Narrow"/>
          <w:sz w:val="22"/>
          <w:szCs w:val="22"/>
        </w:rPr>
        <w:t xml:space="preserve"> son los extremos de un intervalo de clase. La determinación de la cantidad de cifras significativas de los mismos depende de los valores alcanzados por la variable, pudiendo o no coincidir el límite superior de una clase con el inferior del siguiente.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Cs/>
          <w:sz w:val="22"/>
          <w:szCs w:val="22"/>
        </w:rPr>
        <w:t>Límites reales de clase:</w:t>
      </w:r>
      <w:r>
        <w:rPr>
          <w:rFonts w:ascii="Arial Narrow" w:hAnsi="Arial Narrow"/>
          <w:sz w:val="22"/>
          <w:szCs w:val="22"/>
        </w:rPr>
        <w:t xml:space="preserve"> el LRS de una clase es igual a la semisuma (sumar dos números y dividirlos por dos) del LS de dicha clase más el LI de la siguiente. El LRI de una clase es la semisuma del LI de una clase y el LS de la anterior.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 xml:space="preserve">Marca de clase: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>es el punto medio de cada intervalo de clase y se obtiene efectuando el promedio de los límites de clase o de los límites reales de clase.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Normal"/>
        <w:jc w:val="center"/>
        <w:rPr>
          <w:rFonts w:ascii="Arial Narrow" w:hAnsi="Arial Narrow"/>
          <w:bCs/>
          <w:i/>
          <w:i/>
          <w:iCs/>
          <w:sz w:val="22"/>
          <w:szCs w:val="22"/>
          <w:u w:val="single"/>
        </w:rPr>
      </w:pPr>
      <w:r>
        <w:rPr/>
      </w:r>
      <w:r>
        <w:br w:type="page"/>
      </w:r>
    </w:p>
    <w:p>
      <w:pPr>
        <w:pStyle w:val="Normal"/>
        <w:jc w:val="center"/>
        <w:rPr/>
      </w:pPr>
      <w:r>
        <w:rPr>
          <w:rFonts w:ascii="Arial Narrow" w:hAnsi="Arial Narrow"/>
          <w:bCs/>
          <w:i/>
          <w:iCs/>
          <w:sz w:val="22"/>
          <w:szCs w:val="22"/>
          <w:u w:val="single"/>
        </w:rPr>
        <w:t>Representación de datos por medio de gráficos</w:t>
      </w:r>
    </w:p>
    <w:p>
      <w:pPr>
        <w:pStyle w:val="Normal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>
          <w:rFonts w:ascii="Arial Narrow" w:hAnsi="Arial Narrow"/>
          <w:b/>
          <w:bCs/>
          <w:i/>
          <w:iCs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Diagrama de barras:</w:t>
      </w:r>
      <w:r>
        <w:rPr>
          <w:rFonts w:ascii="Arial Narrow" w:hAnsi="Arial Narrow"/>
          <w:sz w:val="22"/>
          <w:szCs w:val="22"/>
        </w:rPr>
        <w:t xml:space="preserve"> cualitativo y cuantitativo discreto.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 xml:space="preserve">Histogramas: </w:t>
      </w:r>
      <w:r>
        <w:rPr>
          <w:rFonts w:ascii="Arial Narrow" w:hAnsi="Arial Narrow"/>
          <w:bCs/>
          <w:iCs/>
          <w:sz w:val="22"/>
          <w:szCs w:val="22"/>
        </w:rPr>
        <w:t>cuantitativo continuo.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 xml:space="preserve">Polígono de frecuencias: </w:t>
      </w:r>
      <w:r>
        <w:rPr>
          <w:rFonts w:ascii="Arial Narrow" w:hAnsi="Arial Narrow"/>
          <w:bCs/>
          <w:iCs/>
          <w:sz w:val="22"/>
          <w:szCs w:val="22"/>
        </w:rPr>
        <w:t>cuantitativo.</w:t>
      </w:r>
    </w:p>
    <w:p>
      <w:pPr>
        <w:pStyle w:val="Standard"/>
        <w:jc w:val="both"/>
        <w:rPr>
          <w:rFonts w:ascii="Arial Narrow" w:hAnsi="Arial Narrow"/>
          <w:b/>
          <w:b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>Gráfico circular:</w:t>
      </w:r>
      <w:r>
        <w:rPr>
          <w:rFonts w:ascii="Arial Narrow" w:hAnsi="Arial Narrow"/>
          <w:sz w:val="22"/>
          <w:szCs w:val="22"/>
        </w:rPr>
        <w:t xml:space="preserve">  cualitativo, cuantitativo.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 xml:space="preserve">Diagrama de frecuencias acumuladas: </w:t>
      </w:r>
      <w:r>
        <w:rPr>
          <w:rFonts w:ascii="Arial Narrow" w:hAnsi="Arial Narrow"/>
          <w:bCs/>
          <w:iCs/>
          <w:sz w:val="22"/>
          <w:szCs w:val="22"/>
        </w:rPr>
        <w:t>cuantitativo discreto.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•</w:t>
      </w:r>
      <w:r>
        <w:rPr>
          <w:rFonts w:ascii="Arial Narrow" w:hAnsi="Arial Narrow"/>
          <w:b/>
          <w:bCs/>
          <w:iCs/>
          <w:sz w:val="22"/>
          <w:szCs w:val="22"/>
        </w:rPr>
        <w:t xml:space="preserve">Ojiva: </w:t>
      </w:r>
      <w:r>
        <w:rPr>
          <w:rFonts w:ascii="Arial Narrow" w:hAnsi="Arial Narrow"/>
          <w:bCs/>
          <w:iCs/>
          <w:sz w:val="22"/>
          <w:szCs w:val="22"/>
        </w:rPr>
        <w:t>cuantitativo continuo.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center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  <w:t>Parámetros estadísticos</w:t>
      </w:r>
    </w:p>
    <w:p>
      <w:pPr>
        <w:pStyle w:val="Standard"/>
        <w:jc w:val="both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>Número que resume la gran cantidad de datos que pueden derivarse del estudio de una variable estadística.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/>
          <w:bCs/>
          <w:iCs/>
          <w:sz w:val="22"/>
          <w:szCs w:val="22"/>
        </w:rPr>
        <w:t>Medidas de centralización</w:t>
      </w:r>
      <w:r>
        <w:rPr>
          <w:rFonts w:ascii="Arial Narrow" w:hAnsi="Arial Narrow"/>
          <w:bCs/>
          <w:iCs/>
          <w:sz w:val="22"/>
          <w:szCs w:val="22"/>
        </w:rPr>
        <w:t>: valores que suelen situarse cerca del centro de la distribución de datos.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 xml:space="preserve">Media aritmética </w:t>
      </w:r>
      <w:r>
        <w:rPr>
          <w:rFonts w:ascii="Arial Narrow" w:hAnsi="Arial Narrow"/>
          <w:sz w:val="22"/>
          <w:szCs w:val="22"/>
        </w:rPr>
        <w:t>(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</m:oMath>
      <w:r>
        <w:rPr>
          <w:rFonts w:ascii="Arial Narrow" w:hAnsi="Arial Narrow"/>
          <w:sz w:val="28"/>
          <w:szCs w:val="28"/>
        </w:rPr>
        <w:t>)</w:t>
      </w:r>
      <w:r>
        <w:rPr>
          <w:rFonts w:ascii="Arial Narrow" w:hAnsi="Arial Narrow"/>
          <w:sz w:val="22"/>
          <w:szCs w:val="22"/>
        </w:rPr>
        <w:t>: es el promedio de una serie de datos.</w:t>
      </w:r>
    </w:p>
    <w:p>
      <w:pPr>
        <w:pStyle w:val="Standard"/>
        <w:ind w:left="720" w:firstLine="698"/>
        <w:jc w:val="both"/>
        <w:rPr/>
      </w:pPr>
      <w:r>
        <w:rPr>
          <w:rFonts w:ascii="Arial Narrow" w:hAnsi="Arial Narrow"/>
          <w:sz w:val="22"/>
          <w:szCs w:val="22"/>
        </w:rPr>
        <w:t xml:space="preserve">Cuantitativa continua: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ind w:left="720" w:firstLine="698"/>
        <w:jc w:val="both"/>
        <w:rPr>
          <w:rFonts w:ascii="Arial Narrow" w:hAnsi="Arial Narrow"/>
          <w:sz w:val="28"/>
          <w:szCs w:val="28"/>
        </w:rPr>
      </w:pPr>
      <w:r>
        <w:rPr/>
      </w:r>
    </w:p>
    <w:p>
      <w:pPr>
        <w:pStyle w:val="Standard"/>
        <w:ind w:left="720" w:firstLine="698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Cuantitativa discreta: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  <m:sup>
                <m:r>
                  <w:rPr>
                    <w:rFonts w:ascii="Cambria Math" w:hAnsi="Cambria Math"/>
                  </w:rPr>
                  <m:t xml:space="preserve">k</m:t>
                </m:r>
              </m:sup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Mediana</w:t>
      </w:r>
      <w:r>
        <w:rPr>
          <w:rFonts w:ascii="Arial Narrow" w:hAnsi="Arial Narrow"/>
          <w:sz w:val="22"/>
          <w:szCs w:val="22"/>
        </w:rPr>
        <w:t xml:space="preserve"> (</w:t>
      </w:r>
      <w:r>
        <w:rPr>
          <w:rFonts w:ascii="Arial Narrow" w:hAnsi="Arial Narrow"/>
          <w:i/>
          <w:sz w:val="22"/>
          <w:szCs w:val="22"/>
        </w:rPr>
        <w:t>Me</w:t>
      </w:r>
      <w:r>
        <w:rPr>
          <w:rFonts w:ascii="Arial Narrow" w:hAnsi="Arial Narrow"/>
          <w:sz w:val="22"/>
          <w:szCs w:val="22"/>
        </w:rPr>
        <w:t>): valor central de los datos cuando éstos se han dispuestos ordenadamente de menor a mayor que divide al conjunto en dos partes iguales.</w:t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pos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</w:rPr>
        <w:t>Cuantitativo discreto:</w:t>
      </w:r>
    </w:p>
    <w:p>
      <w:pPr>
        <w:pStyle w:val="Standard"/>
        <w:ind w:left="720" w:firstLine="698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n impar: se obtiene buscando el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correspondiente a 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que contiene a la pos.</w:t>
      </w:r>
    </w:p>
    <w:p>
      <w:pPr>
        <w:pStyle w:val="Standard"/>
        <w:ind w:left="1418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n par: se obtiene sumando el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correspondiente a 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que contiene a la pos con el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siguiente a este y luego dividiendo esta suma por dos.</w:t>
      </w:r>
    </w:p>
    <w:p>
      <w:pPr>
        <w:pStyle w:val="Standard"/>
        <w:ind w:left="1418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</w:rPr>
        <w:t xml:space="preserve">Cuantitativo continuo: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LRI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c</m:t>
        </m:r>
        <m:f>
          <m:num>
            <m:r>
              <w:rPr>
                <w:rFonts w:ascii="Cambria Math" w:hAnsi="Cambria Math"/>
              </w:rPr>
              <m:t xml:space="preserve">pos</m:t>
            </m:r>
            <m:r>
              <w:rPr>
                <w:rFonts w:ascii="Cambria Math" w:hAnsi="Cambria Math"/>
              </w:rPr>
              <m:t xml:space="preserve">−</m:t>
            </m:r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ANT</m:t>
                    </m:r>
                  </m:sub>
                </m:sSub>
              </m:e>
            </m:nary>
          </m:num>
          <m:den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iMe</m:t>
                </m:r>
              </m:sub>
            </m:sSub>
          </m:den>
        </m:f>
      </m:oMath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b/>
          <w:b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Moda</w:t>
      </w:r>
      <w:r>
        <w:rPr>
          <w:rFonts w:ascii="Arial Narrow" w:hAnsi="Arial Narrow"/>
          <w:b/>
          <w:sz w:val="22"/>
          <w:szCs w:val="22"/>
        </w:rPr>
        <w:t xml:space="preserve">: </w:t>
      </w:r>
      <w:r>
        <w:rPr>
          <w:rFonts w:ascii="Arial Narrow" w:hAnsi="Arial Narrow"/>
          <w:sz w:val="22"/>
          <w:szCs w:val="22"/>
        </w:rPr>
        <w:t>valor de un conjunto de datos que se repite con mayor frecuencia</w:t>
      </w:r>
      <w:r>
        <w:rPr>
          <w:rFonts w:ascii="Arial Narrow" w:hAnsi="Arial Narrow"/>
          <w:b/>
          <w:sz w:val="22"/>
          <w:szCs w:val="22"/>
        </w:rPr>
        <w:t>.</w:t>
      </w:r>
    </w:p>
    <w:p>
      <w:pPr>
        <w:pStyle w:val="Standard"/>
        <w:ind w:left="720" w:hanging="0"/>
        <w:jc w:val="both"/>
        <w:rPr>
          <w:rFonts w:ascii="Arial Narrow" w:hAnsi="Arial Narrow"/>
          <w:b/>
          <w:b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</w:r>
    </w:p>
    <w:p>
      <w:pPr>
        <w:pStyle w:val="Standard"/>
        <w:ind w:firstLine="709"/>
        <w:jc w:val="both"/>
        <w:rPr/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</w:rPr>
        <w:t xml:space="preserve">Cuantitativo continuo: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Mo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LRI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c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den>
        </m:f>
      </m:oMath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ind w:left="709" w:firstLine="709"/>
        <w:jc w:val="both"/>
        <w:rPr/>
      </w:pPr>
      <w:r>
        <w:rPr>
          <w:rFonts w:ascii="Arial Narrow" w:hAnsi="Arial Narrow"/>
          <w:sz w:val="22"/>
          <w:szCs w:val="22"/>
        </w:rPr>
        <w:t>Donde:</w:t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Mo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ANT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</w:t>
      </w:r>
    </w:p>
    <w:p>
      <w:pPr>
        <w:pStyle w:val="Standard"/>
        <w:ind w:left="709" w:firstLine="709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Mo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POST</m:t>
            </m:r>
          </m:sub>
        </m:sSub>
      </m:oMath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>
          <w:rFonts w:ascii="Arial Narrow" w:hAnsi="Arial Narrow"/>
          <w:b/>
          <w:bCs/>
          <w:i/>
          <w:iCs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/>
      </w:r>
      <w:r>
        <w:br w:type="page"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/>
          <w:iCs/>
          <w:sz w:val="22"/>
          <w:szCs w:val="22"/>
        </w:rPr>
        <w:t xml:space="preserve">Medidas de dispersión: </w:t>
      </w:r>
      <w:r>
        <w:rPr>
          <w:rFonts w:ascii="Arial Narrow" w:hAnsi="Arial Narrow"/>
          <w:sz w:val="22"/>
          <w:szCs w:val="22"/>
        </w:rPr>
        <w:t>Las medidas de dispersión completan el análisis de una serie de datos pues determinan la mayor o menor separación de los datos con respecto a su valor central. Es decir que indican el alejamiento de los valores de la variable con respecto a sus medidas de centralización; siendo por lo tanto una forma de evaluar la heterogeneidad de los datos.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  <w:t>Medidas de dispersión absolutas:</w:t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Rango</w:t>
      </w:r>
      <w:r>
        <w:rPr>
          <w:rFonts w:ascii="Arial Narrow" w:hAnsi="Arial Narrow"/>
          <w:sz w:val="22"/>
          <w:szCs w:val="22"/>
        </w:rPr>
        <w:t xml:space="preserve">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max</m:t>
            </m:r>
          </m:sub>
        </m:sSub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min</m:t>
            </m:r>
          </m:sub>
        </m:sSub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Desvíos</w:t>
      </w:r>
      <w:r>
        <w:rPr>
          <w:rFonts w:ascii="Arial Narrow" w:hAnsi="Arial Narrow"/>
          <w:sz w:val="22"/>
          <w:szCs w:val="22"/>
        </w:rPr>
        <w:t>: el desvío de cada valor de la variable con respecto a la media aritmética es igual a la diferencia entre dicho valor y la media de un conjunto de datos.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−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</m:oMath>
      <w:r>
        <w:rPr>
          <w:rFonts w:ascii="Arial Narrow" w:hAnsi="Arial Narrow"/>
          <w:sz w:val="22"/>
          <w:szCs w:val="22"/>
        </w:rPr>
        <w:t xml:space="preserve">  (variable discreta)</w:t>
      </w:r>
    </w:p>
    <w:p>
      <w:pPr>
        <w:pStyle w:val="Standard"/>
        <w:jc w:val="both"/>
        <w:rPr>
          <w:rFonts w:ascii="Arial Narrow" w:hAnsi="Arial Narrow"/>
          <w:b/>
          <w:b/>
          <w:bCs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−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</m:oMath>
      <w:r>
        <w:rPr>
          <w:rFonts w:ascii="Arial Narrow" w:hAnsi="Arial Narrow"/>
          <w:sz w:val="22"/>
          <w:szCs w:val="22"/>
        </w:rPr>
        <w:t xml:space="preserve"> (variable continua)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Desviación media</w:t>
      </w:r>
      <w:r>
        <w:rPr>
          <w:rFonts w:ascii="Arial Narrow" w:hAnsi="Arial Narrow"/>
          <w:sz w:val="22"/>
          <w:szCs w:val="22"/>
        </w:rPr>
        <w:t>: es el promedio de los valores absolutos de los desvíos antes definidos.</w:t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ind w:left="720" w:hanging="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2"/>
          <w:szCs w:val="22"/>
        </w:rPr>
        <w:tab/>
        <w:t xml:space="preserve">Datos no tabulados: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Dm</m:t>
        </m: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d>
                  <m:dPr>
                    <m:begChr m:val="|"/>
                    <m:endChr m:val="|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  <w:t xml:space="preserve">Datos tabulados: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Dm</m:t>
        </m: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d>
                  <m:dPr>
                    <m:begChr m:val="|"/>
                    <m:endChr m:val="|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d>
                <m:sSub>
                  <m:e>
                    <m:r>
                      <w:rPr>
                        <w:rFonts w:ascii="Cambria Math" w:hAnsi="Cambria Math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Varianza</w:t>
      </w:r>
      <w:r>
        <w:rPr>
          <w:rFonts w:ascii="Arial Narrow" w:hAnsi="Arial Narrow"/>
          <w:sz w:val="22"/>
          <w:szCs w:val="22"/>
        </w:rPr>
        <w:t>: se define como el promedio de los cuadrados de los desvíos con respecto a la media aritmética.</w:t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firstLine="698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Datos no tabulados: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Var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σ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ind w:left="720" w:firstLine="698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firstLine="698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Datos tabulados: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Var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σ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s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sSub>
                  <m:e>
                    <m:r>
                      <w:rPr>
                        <w:rFonts w:ascii="Cambria Math" w:hAnsi="Cambria Math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Desviación estándar</w:t>
      </w:r>
      <w:r>
        <w:rPr>
          <w:rFonts w:ascii="Arial Narrow" w:hAnsi="Arial Narrow"/>
          <w:sz w:val="22"/>
          <w:szCs w:val="22"/>
        </w:rPr>
        <w:t>: esta es la medida de uso más frecuente y se calcula mediante:</w:t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/>
      </w:r>
      <m:oMath xmlns:m="http://schemas.openxmlformats.org/officeDocument/2006/math"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Var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σ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s</m:t>
        </m:r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i/>
          <w:i/>
          <w:iCs/>
          <w:sz w:val="22"/>
          <w:szCs w:val="22"/>
        </w:rPr>
      </w:pPr>
      <w:r>
        <w:rPr>
          <w:rFonts w:ascii="Arial Narrow" w:hAnsi="Arial Narrow"/>
          <w:i/>
          <w:iCs/>
          <w:sz w:val="22"/>
          <w:szCs w:val="22"/>
        </w:rPr>
        <w:t>Medidas de dispersión relativas:</w:t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>
          <w:rFonts w:ascii="Arial Narrow" w:hAnsi="Arial Narrow"/>
          <w:iCs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>
          <w:rFonts w:ascii="Arial Narrow" w:hAnsi="Arial Narrow"/>
          <w:iCs/>
          <w:sz w:val="22"/>
          <w:szCs w:val="22"/>
        </w:rPr>
        <w:tab/>
        <w:t>•</w:t>
      </w:r>
      <w:r>
        <w:rPr>
          <w:rFonts w:ascii="Arial Narrow" w:hAnsi="Arial Narrow"/>
          <w:iCs/>
          <w:sz w:val="22"/>
          <w:szCs w:val="22"/>
          <w:u w:val="single"/>
        </w:rPr>
        <w:t>Coeficiente de variación</w:t>
      </w:r>
      <w:r>
        <w:rPr>
          <w:rFonts w:ascii="Arial Narrow" w:hAnsi="Arial Narrow"/>
          <w:iCs/>
          <w:sz w:val="22"/>
          <w:szCs w:val="22"/>
        </w:rPr>
        <w:t>: es la desviación típica expresada en porcentaje de la media aritmética.</w:t>
      </w:r>
    </w:p>
    <w:p>
      <w:pPr>
        <w:pStyle w:val="Standard"/>
        <w:jc w:val="both"/>
        <w:rPr>
          <w:rFonts w:ascii="Arial Narrow" w:hAnsi="Arial Narrow"/>
          <w:iCs/>
          <w:sz w:val="22"/>
          <w:szCs w:val="22"/>
        </w:rPr>
      </w:pPr>
      <w:r>
        <w:rPr>
          <w:rFonts w:ascii="Arial Narrow" w:hAnsi="Arial Narrow"/>
          <w:iCs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CV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100</m:t>
        </m:r>
        <m:f>
          <m:num>
            <m:r>
              <w:rPr>
                <w:rFonts w:ascii="Cambria Math" w:hAnsi="Cambria Math"/>
              </w:rPr>
              <m:t xml:space="preserve">σ</m:t>
            </m:r>
          </m:num>
          <m:den>
            <m:acc>
              <m:accPr>
                <m:chr m:val="´"/>
              </m:acc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acc>
          </m:den>
        </m:f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/>
      </w:r>
      <w:r>
        <w:br w:type="page"/>
      </w:r>
    </w:p>
    <w:p>
      <w:pPr>
        <w:pStyle w:val="Standard"/>
        <w:jc w:val="both"/>
        <w:rPr/>
      </w:pPr>
      <w:r>
        <w:rPr>
          <w:rFonts w:ascii="Arial Narrow" w:hAnsi="Arial Narrow"/>
          <w:b/>
          <w:bCs/>
          <w:i/>
          <w:iCs/>
          <w:sz w:val="22"/>
          <w:szCs w:val="22"/>
        </w:rPr>
        <w:t>Medidas de concentración:</w:t>
      </w:r>
      <w:r>
        <w:rPr>
          <w:rFonts w:ascii="Arial Narrow" w:hAnsi="Arial Narrow"/>
          <w:sz w:val="22"/>
          <w:szCs w:val="22"/>
        </w:rPr>
        <w:t xml:space="preserve"> 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  <w:t>•</w:t>
      </w:r>
      <w:r>
        <w:rPr>
          <w:rFonts w:ascii="Arial Narrow" w:hAnsi="Arial Narrow"/>
          <w:sz w:val="22"/>
          <w:szCs w:val="22"/>
          <w:u w:val="single"/>
        </w:rPr>
        <w:t>Cuartiles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</m:t>
        </m:r>
      </m:oMath>
      <w:r>
        <w:rPr>
          <w:rFonts w:ascii="Arial Narrow" w:hAnsi="Arial Narrow"/>
          <w:sz w:val="22"/>
          <w:szCs w:val="22"/>
        </w:rPr>
        <w:t xml:space="preserve">) , </w:t>
      </w:r>
      <w:r>
        <w:rPr>
          <w:rFonts w:ascii="Arial Narrow" w:hAnsi="Arial Narrow"/>
          <w:sz w:val="22"/>
          <w:szCs w:val="22"/>
          <w:u w:val="single"/>
        </w:rPr>
        <w:t>Deciles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</m:t>
        </m:r>
      </m:oMath>
      <w:r>
        <w:rPr>
          <w:rFonts w:ascii="Arial Narrow" w:hAnsi="Arial Narrow"/>
          <w:sz w:val="22"/>
          <w:szCs w:val="22"/>
        </w:rPr>
        <w:t xml:space="preserve">) y </w:t>
      </w:r>
      <w:r>
        <w:rPr>
          <w:rFonts w:ascii="Arial Narrow" w:hAnsi="Arial Narrow"/>
          <w:sz w:val="22"/>
          <w:szCs w:val="22"/>
          <w:u w:val="single"/>
        </w:rPr>
        <w:t>Percentiles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P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v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100</m:t>
        </m:r>
      </m:oMath>
      <w:r>
        <w:rPr>
          <w:rFonts w:ascii="Arial Narrow" w:hAnsi="Arial Narrow"/>
          <w:sz w:val="22"/>
          <w:szCs w:val="22"/>
        </w:rPr>
        <w:t>):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  <w:t>•</w:t>
      </w:r>
      <w:r>
        <w:rPr>
          <w:rFonts w:ascii="Arial Narrow" w:hAnsi="Arial Narrow"/>
          <w:sz w:val="22"/>
          <w:szCs w:val="22"/>
          <w:u w:val="single"/>
        </w:rPr>
        <w:t>Generaliles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>):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</w:rPr>
        <w:t xml:space="preserve">Cuantitativo discreto: </w:t>
      </w:r>
    </w:p>
    <w:p>
      <w:pPr>
        <w:pStyle w:val="Standard"/>
        <w:ind w:left="1418" w:firstLine="709"/>
        <w:rPr>
          <w:rFonts w:ascii="Arial Narrow" w:hAnsi="Arial Narrow"/>
          <w:sz w:val="22"/>
          <w:szCs w:val="22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pos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n</m:t>
            </m:r>
          </m:num>
          <m:den>
            <m:r>
              <w:rPr>
                <w:rFonts w:ascii="Cambria Math" w:hAnsi="Cambria Math"/>
              </w:rPr>
              <m:t xml:space="preserve">v</m:t>
            </m:r>
          </m:den>
        </m:f>
      </m:oMath>
    </w:p>
    <w:p>
      <w:pPr>
        <w:pStyle w:val="Standard"/>
        <w:ind w:left="1418" w:firstLine="709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1418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El ‘generalil’ se encuentra buscando el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correspondiente a la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</m:oMath>
      <w:r>
        <w:rPr>
          <w:rFonts w:ascii="Arial Narrow" w:hAnsi="Arial Narrow"/>
          <w:sz w:val="22"/>
          <w:szCs w:val="22"/>
        </w:rPr>
        <w:t xml:space="preserve"> que contiene a la pos.</w:t>
      </w:r>
    </w:p>
    <w:p>
      <w:pPr>
        <w:pStyle w:val="Standard"/>
        <w:ind w:left="709"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eastAsia="Wingdings" w:cs="Wingdings" w:ascii="Wingdings" w:hAnsi="Wingdings"/>
          <w:sz w:val="22"/>
          <w:szCs w:val="22"/>
        </w:rPr>
        <w:t></w:t>
      </w:r>
      <w:r>
        <w:rPr>
          <w:rFonts w:ascii="Arial Narrow" w:hAnsi="Arial Narrow"/>
          <w:sz w:val="22"/>
          <w:szCs w:val="22"/>
        </w:rPr>
        <w:t xml:space="preserve">Cuantitativo continuo: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LRI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c</m:t>
        </m:r>
        <m:f>
          <m:num>
            <m:r>
              <w:rPr>
                <w:rFonts w:ascii="Cambria Math" w:hAnsi="Cambria Math"/>
              </w:rPr>
              <m:t xml:space="preserve">pos</m:t>
            </m:r>
            <m:r>
              <w:rPr>
                <w:rFonts w:ascii="Cambria Math" w:hAnsi="Cambria Math"/>
              </w:rPr>
              <m:t xml:space="preserve">−</m:t>
            </m:r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ANT</m:t>
                    </m:r>
                  </m:sub>
                </m:sSub>
              </m:e>
            </m:nary>
          </m:num>
          <m:den>
            <m:sSub>
              <m:e>
                <m: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w:rPr>
                    <w:rFonts w:ascii="Cambria Math" w:hAnsi="Cambria Math"/>
                  </w:rPr>
                  <m:t xml:space="preserve">iGi</m:t>
                </m:r>
              </m:sub>
            </m:sSub>
          </m:den>
        </m:f>
      </m:oMath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bCs/>
          <w:i/>
          <w:iCs/>
          <w:sz w:val="22"/>
          <w:szCs w:val="22"/>
        </w:rPr>
        <w:t>Medidas de forma:</w:t>
      </w:r>
    </w:p>
    <w:p>
      <w:pPr>
        <w:pStyle w:val="Standard"/>
        <w:jc w:val="both"/>
        <w:rPr>
          <w:rFonts w:ascii="Arial Narrow" w:hAnsi="Arial Narrow"/>
          <w:b/>
          <w:b/>
          <w:bCs/>
          <w:i/>
          <w:i/>
          <w:iCs/>
          <w:sz w:val="22"/>
          <w:szCs w:val="22"/>
        </w:rPr>
      </w:pPr>
      <w:r>
        <w:rPr>
          <w:rFonts w:ascii="Arial Narrow" w:hAnsi="Arial Narrow"/>
          <w:b/>
          <w:bCs/>
          <w:i/>
          <w:iCs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Cs/>
          <w:iCs/>
          <w:sz w:val="22"/>
          <w:szCs w:val="22"/>
        </w:rPr>
        <w:tab/>
        <w:t>•</w:t>
      </w:r>
      <w:r>
        <w:rPr>
          <w:rFonts w:ascii="Arial Narrow" w:hAnsi="Arial Narrow"/>
          <w:bCs/>
          <w:iCs/>
          <w:sz w:val="22"/>
          <w:szCs w:val="22"/>
          <w:u w:val="single"/>
        </w:rPr>
        <w:t>Distribución simétrica</w:t>
      </w:r>
      <w:r>
        <w:rPr>
          <w:rFonts w:ascii="Arial Narrow" w:hAnsi="Arial Narrow"/>
          <w:bCs/>
          <w:iCs/>
          <w:sz w:val="22"/>
          <w:szCs w:val="22"/>
        </w:rPr>
        <w:t xml:space="preserve">: se cumple que </w:t>
      </w:r>
      <w:r>
        <w:rPr>
          <w:rFonts w:ascii="Arial Narrow" w:hAnsi="Arial Narrow"/>
          <w:sz w:val="22"/>
          <w:szCs w:val="22"/>
        </w:rPr>
        <w:t xml:space="preserve">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Mo</m:t>
        </m:r>
      </m:oMath>
      <w:r>
        <w:rPr>
          <w:rFonts w:ascii="Arial Narrow" w:hAnsi="Arial Narrow"/>
          <w:sz w:val="22"/>
          <w:szCs w:val="22"/>
        </w:rPr>
        <w:t>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bCs/>
          <w:iCs/>
          <w:sz w:val="22"/>
          <w:szCs w:val="22"/>
        </w:rPr>
        <w:t>•</w:t>
      </w:r>
      <w:r>
        <w:rPr>
          <w:rFonts w:ascii="Arial Narrow" w:hAnsi="Arial Narrow"/>
          <w:bCs/>
          <w:iCs/>
          <w:sz w:val="22"/>
          <w:szCs w:val="22"/>
          <w:u w:val="single"/>
        </w:rPr>
        <w:t>Distribución asimétrica</w:t>
      </w:r>
      <w:r>
        <w:rPr>
          <w:rFonts w:ascii="Arial Narrow" w:hAnsi="Arial Narrow"/>
          <w:bCs/>
          <w:iCs/>
          <w:sz w:val="22"/>
          <w:szCs w:val="22"/>
        </w:rPr>
        <w:t>: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Cs/>
          <w:iCs/>
          <w:sz w:val="22"/>
          <w:szCs w:val="22"/>
        </w:rPr>
        <w:tab/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Sesgo</w:t>
      </w:r>
      <w:r>
        <w:rPr>
          <w:rFonts w:ascii="Arial Narrow" w:hAnsi="Arial Narrow"/>
          <w:sz w:val="22"/>
          <w:szCs w:val="22"/>
        </w:rPr>
        <w:t>: mide el grado de concentración de los datos de una distribución a un lado y otro de la media; expresando, por lo tanto, la asimetría de la misma.</w:t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Cs/>
          <w:iCs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bCs/>
          <w:iCs/>
          <w:sz w:val="22"/>
          <w:szCs w:val="22"/>
        </w:rPr>
      </w:pPr>
      <w:r>
        <w:rPr>
          <w:rFonts w:ascii="Arial Narrow" w:hAnsi="Arial Narrow"/>
          <w:bCs/>
          <w:iCs/>
          <w:sz w:val="22"/>
          <w:szCs w:val="22"/>
        </w:rPr>
        <w:tab/>
      </w:r>
      <w:r>
        <w:rPr>
          <w:rFonts w:eastAsia="Wingdings" w:cs="Wingdings" w:ascii="Wingdings" w:hAnsi="Wingdings"/>
          <w:bCs/>
          <w:iCs/>
          <w:sz w:val="22"/>
          <w:szCs w:val="22"/>
        </w:rPr>
        <w:t></w:t>
      </w:r>
      <w:r>
        <w:rPr>
          <w:rFonts w:ascii="Arial Narrow" w:hAnsi="Arial Narrow"/>
          <w:bCs/>
          <w:iCs/>
          <w:sz w:val="22"/>
          <w:szCs w:val="22"/>
        </w:rPr>
        <w:t xml:space="preserve">A derecha: 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09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 xml:space="preserve">En una distribución </w:t>
      </w:r>
      <w:r>
        <w:rPr>
          <w:rFonts w:ascii="Arial Narrow" w:hAnsi="Arial Narrow"/>
          <w:b/>
          <w:bCs/>
          <w:sz w:val="22"/>
          <w:szCs w:val="22"/>
        </w:rPr>
        <w:t>sesgada a izquierda</w:t>
      </w:r>
      <w:r>
        <w:rPr>
          <w:rFonts w:ascii="Arial Narrow" w:hAnsi="Arial Narrow"/>
          <w:sz w:val="22"/>
          <w:szCs w:val="22"/>
        </w:rPr>
        <w:t xml:space="preserve">, la media es el menor valor, ubicándose la mediana entre ella y la moda, que resulta ser el mayor valor: </w:t>
      </w:r>
      <w:r>
        <w:rPr/>
      </w:r>
      <m:oMath xmlns:m="http://schemas.openxmlformats.org/officeDocument/2006/math"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Me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Mo</m:t>
        </m:r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 xml:space="preserve">En una distribución con </w:t>
      </w:r>
      <w:r>
        <w:rPr>
          <w:rFonts w:ascii="Arial Narrow" w:hAnsi="Arial Narrow"/>
          <w:b/>
          <w:bCs/>
          <w:sz w:val="22"/>
          <w:szCs w:val="22"/>
        </w:rPr>
        <w:t>sesgo a la derecha</w:t>
      </w:r>
      <w:r>
        <w:rPr>
          <w:rFonts w:ascii="Arial Narrow" w:hAnsi="Arial Narrow"/>
          <w:sz w:val="22"/>
          <w:szCs w:val="22"/>
        </w:rPr>
        <w:t xml:space="preserve">, la media aritmética es la mayor de las tres, pues en ella </w:t>
        <w:tab/>
        <w:t xml:space="preserve">influyen los valores muy altos de la variable y queda la mediana entre la moda y la media: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Mo</m:t>
        </m:r>
        <m:r>
          <w:rPr>
            <w:rFonts w:ascii="Cambria Math" w:hAnsi="Cambria Math"/>
          </w:rPr>
          <m:t xml:space="preserve">&lt;</m:t>
        </m:r>
        <m:r>
          <w:rPr>
            <w:rFonts w:ascii="Cambria Math" w:hAnsi="Cambria Math"/>
          </w:rPr>
          <m:t xml:space="preserve">Me</m:t>
        </m:r>
        <m:r>
          <w:rPr>
            <w:rFonts w:ascii="Cambria Math" w:hAnsi="Cambria Math"/>
          </w:rPr>
          <m:t xml:space="preserve">&lt;</m:t>
        </m:r>
        <m:acc>
          <m:accPr>
            <m:chr m:val="´"/>
          </m:accPr>
          <m:e>
            <m:r>
              <w:rPr>
                <w:rFonts w:ascii="Cambria Math" w:hAnsi="Cambria Math"/>
              </w:rPr>
              <m:t xml:space="preserve">x</m:t>
            </m:r>
          </m:e>
        </m:acc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Coeficiente de Pearson</w:t>
      </w:r>
      <w:r>
        <w:rPr>
          <w:rFonts w:ascii="Arial Narrow" w:hAnsi="Arial Narrow"/>
          <w:sz w:val="22"/>
          <w:szCs w:val="22"/>
        </w:rPr>
        <w:t>: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drawing>
          <wp:anchor behindDoc="0" distT="0" distB="7620" distL="114300" distR="12065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9950" cy="1440180"/>
            <wp:effectExtent l="0" t="0" r="0" b="0"/>
            <wp:wrapSquare wrapText="bothSides"/>
            <wp:docPr id="1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ind w:left="720" w:hanging="0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  <w:u w:val="single"/>
        </w:rPr>
        <w:t>Coeficiente de asimetría de Fisher</w:t>
      </w:r>
      <w:r>
        <w:rPr>
          <w:rFonts w:ascii="Arial Narrow" w:hAnsi="Arial Narrow"/>
          <w:sz w:val="22"/>
          <w:szCs w:val="22"/>
        </w:rPr>
        <w:t xml:space="preserve">: 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drawing>
          <wp:anchor behindDoc="0" distT="0" distB="5715" distL="114300" distR="12065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9950" cy="1080135"/>
            <wp:effectExtent l="0" t="0" r="0" b="0"/>
            <wp:wrapSquare wrapText="bothSides"/>
            <wp:docPr id="2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center"/>
        <w:rPr>
          <w:rFonts w:ascii="Arial Narrow" w:hAnsi="Arial Narrow"/>
          <w:sz w:val="22"/>
          <w:szCs w:val="22"/>
          <w:u w:val="single"/>
        </w:rPr>
      </w:pPr>
      <w:r>
        <w:rPr>
          <w:rFonts w:ascii="Arial Narrow" w:hAnsi="Arial Narrow"/>
          <w:sz w:val="22"/>
          <w:szCs w:val="22"/>
          <w:u w:val="single"/>
        </w:rPr>
        <w:t>Regresión y correlación lineal</w:t>
      </w:r>
    </w:p>
    <w:p>
      <w:pPr>
        <w:pStyle w:val="Standard"/>
        <w:tabs>
          <w:tab w:val="clear" w:pos="709"/>
          <w:tab w:val="left" w:pos="1284" w:leader="none"/>
        </w:tabs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tabs>
          <w:tab w:val="clear" w:pos="709"/>
          <w:tab w:val="left" w:pos="1284" w:leader="none"/>
        </w:tabs>
        <w:jc w:val="both"/>
        <w:rPr>
          <w:rFonts w:ascii="Arial Narrow" w:hAnsi="Arial Narrow"/>
          <w:b/>
          <w:b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Variables que intervienen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 xml:space="preserve">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ascii="Arial Narrow" w:hAnsi="Arial Narrow"/>
          <w:sz w:val="22"/>
          <w:szCs w:val="22"/>
        </w:rPr>
        <w:t xml:space="preserve"> determinísticas: Conocido el valor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, el valor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ascii="Arial Narrow" w:hAnsi="Arial Narrow"/>
          <w:sz w:val="22"/>
          <w:szCs w:val="22"/>
        </w:rPr>
        <w:t xml:space="preserve"> queda perfectamente establecido.</w:t>
        <w:tab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: determinística 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ascii="Arial Narrow" w:hAnsi="Arial Narrow"/>
          <w:sz w:val="22"/>
          <w:szCs w:val="22"/>
        </w:rPr>
        <w:t>: probabilística (análisis de regresión).</w:t>
        <w:tab/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 </w:t>
      </w:r>
      <w:r>
        <w:rPr>
          <w:rFonts w:ascii="Arial Narrow" w:hAnsi="Arial Narrow"/>
          <w:sz w:val="22"/>
          <w:szCs w:val="22"/>
        </w:rPr>
        <w:t xml:space="preserve">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ascii="Arial Narrow" w:hAnsi="Arial Narrow"/>
          <w:sz w:val="22"/>
          <w:szCs w:val="22"/>
        </w:rPr>
        <w:t xml:space="preserve"> probabilísticas (análisis de correlación-regresión): conocido el valor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, el valor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rFonts w:ascii="Arial Narrow" w:hAnsi="Arial Narrow"/>
          <w:sz w:val="22"/>
          <w:szCs w:val="22"/>
        </w:rPr>
        <w:t xml:space="preserve"> no queda perfectamente establecido.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Gráfico de dispersión</w:t>
      </w:r>
      <w:r>
        <w:rPr>
          <w:rFonts w:ascii="Arial Narrow" w:hAnsi="Arial Narrow"/>
          <w:sz w:val="22"/>
          <w:szCs w:val="22"/>
        </w:rPr>
        <w:t>: Es una gráfica que se representa en el sistema de ejes cartesianos los pares ordenados, correspondientes a los datos apareados que resultan de las mediciones.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Tipos de relaciones</w:t>
      </w:r>
    </w:p>
    <w:p>
      <w:pPr>
        <w:pStyle w:val="Standard"/>
        <w:rPr>
          <w:rFonts w:ascii="Carlito" w:hAnsi="Carlito"/>
          <w:sz w:val="22"/>
          <w:szCs w:val="22"/>
        </w:rPr>
      </w:pPr>
      <w:r>
        <w:rPr>
          <w:rFonts w:ascii="Carlito" w:hAnsi="Carlito"/>
          <w:sz w:val="22"/>
          <w:szCs w:val="22"/>
        </w:rPr>
      </w:r>
    </w:p>
    <w:p>
      <w:pPr>
        <w:pStyle w:val="Standard"/>
        <w:ind w:firstLine="709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Perfectas</w:t>
        <w:tab/>
        <w:t>Imperfectas</w:t>
        <w:tab/>
        <w:t>Positivas</w:t>
        <w:tab/>
        <w:t xml:space="preserve">Negativas </w:t>
        <w:tab/>
        <w:t>Sin Relación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drawing>
          <wp:anchor behindDoc="0" distT="0" distB="5715" distL="114300" distR="120015" simplePos="0" locked="0" layoutInCell="1" allowOverlap="1" relativeHeight="6">
            <wp:simplePos x="0" y="0"/>
            <wp:positionH relativeFrom="margin">
              <wp:posOffset>316230</wp:posOffset>
            </wp:positionH>
            <wp:positionV relativeFrom="paragraph">
              <wp:posOffset>88900</wp:posOffset>
            </wp:positionV>
            <wp:extent cx="737235" cy="737235"/>
            <wp:effectExtent l="0" t="0" r="0" b="0"/>
            <wp:wrapSquare wrapText="bothSides"/>
            <wp:docPr id="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2152650</wp:posOffset>
            </wp:positionH>
            <wp:positionV relativeFrom="paragraph">
              <wp:posOffset>4445</wp:posOffset>
            </wp:positionV>
            <wp:extent cx="746760" cy="746760"/>
            <wp:effectExtent l="0" t="0" r="0" b="0"/>
            <wp:wrapSquare wrapText="bothSides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905" distL="114300" distR="116205" simplePos="0" locked="0" layoutInCell="1" allowOverlap="1" relativeHeight="5">
            <wp:simplePos x="0" y="0"/>
            <wp:positionH relativeFrom="column">
              <wp:posOffset>3068320</wp:posOffset>
            </wp:positionH>
            <wp:positionV relativeFrom="paragraph">
              <wp:posOffset>4445</wp:posOffset>
            </wp:positionV>
            <wp:extent cx="721995" cy="721995"/>
            <wp:effectExtent l="0" t="0" r="0" b="0"/>
            <wp:wrapSquare wrapText="bothSides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905" distL="114300" distR="116205" simplePos="0" locked="0" layoutInCell="1" allowOverlap="1" relativeHeight="7">
            <wp:simplePos x="0" y="0"/>
            <wp:positionH relativeFrom="column">
              <wp:posOffset>1261110</wp:posOffset>
            </wp:positionH>
            <wp:positionV relativeFrom="paragraph">
              <wp:posOffset>4445</wp:posOffset>
            </wp:positionV>
            <wp:extent cx="721995" cy="721995"/>
            <wp:effectExtent l="0" t="0" r="0" b="0"/>
            <wp:wrapSquare wrapText="bothSides"/>
            <wp:docPr id="6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9525" distL="114300" distR="123190" simplePos="0" locked="0" layoutInCell="1" allowOverlap="1" relativeHeight="8">
            <wp:simplePos x="0" y="0"/>
            <wp:positionH relativeFrom="column">
              <wp:posOffset>3996690</wp:posOffset>
            </wp:positionH>
            <wp:positionV relativeFrom="paragraph">
              <wp:posOffset>4445</wp:posOffset>
            </wp:positionV>
            <wp:extent cx="752475" cy="752475"/>
            <wp:effectExtent l="0" t="0" r="0" b="0"/>
            <wp:wrapSquare wrapText="bothSides"/>
            <wp:docPr id="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Regresión</w:t>
      </w:r>
      <w:r>
        <w:rPr>
          <w:rFonts w:ascii="Arial Narrow" w:hAnsi="Arial Narrow"/>
          <w:sz w:val="22"/>
          <w:szCs w:val="22"/>
        </w:rPr>
        <w:t>: La regresió</w:t>
      </w:r>
      <w:bookmarkStart w:id="0" w:name="_GoBack"/>
      <w:bookmarkEnd w:id="0"/>
      <w:r>
        <w:rPr>
          <w:rFonts w:ascii="Arial Narrow" w:hAnsi="Arial Narrow"/>
          <w:sz w:val="22"/>
          <w:szCs w:val="22"/>
        </w:rPr>
        <w:t>n mide en forma funcional, a través de una ecuación, la posible relación entre las variables con el objetivo de predecir una de ellas en función de la/s otra/s.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center"/>
        <w:rPr>
          <w:rFonts w:ascii="Arial Narrow" w:hAnsi="Arial Narrow"/>
          <w:sz w:val="22"/>
          <w:szCs w:val="22"/>
        </w:rPr>
      </w:pPr>
      <w:r>
        <w:rPr/>
        <w:drawing>
          <wp:inline distT="0" distB="0" distL="0" distR="0">
            <wp:extent cx="3526155" cy="1945640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b/>
          <w:sz w:val="22"/>
          <w:szCs w:val="22"/>
        </w:rPr>
        <w:t>Correlación</w:t>
      </w:r>
      <w:r>
        <w:rPr>
          <w:rFonts w:ascii="Arial Narrow" w:hAnsi="Arial Narrow"/>
          <w:sz w:val="22"/>
          <w:szCs w:val="22"/>
        </w:rPr>
        <w:t>: La correlación se dirige sobre todo a medir la intensidad de la asociación entre variables numéricas.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  <w:u w:val="single"/>
        </w:rPr>
        <w:t>Coeficiente de correlación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ascii="Arial Narrow" w:hAnsi="Arial Narrow"/>
          <w:sz w:val="22"/>
          <w:szCs w:val="22"/>
        </w:rPr>
        <w:t xml:space="preserve">): </w:t>
      </w:r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Cov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σ</m:t>
            </m:r>
            <m:r>
              <w:rPr>
                <w:rFonts w:ascii="Cambria Math" w:hAnsi="Cambria Math"/>
              </w:rPr>
              <m:t xml:space="preserve">y</m:t>
            </m:r>
          </m:den>
        </m:f>
        <m:r>
          <m:rPr>
            <m:lit/>
            <m:nor/>
          </m:rPr>
          <w:rPr>
            <w:rFonts w:ascii="Cambria Math" w:hAnsi="Cambria Math"/>
          </w:rPr>
          <m:t xml:space="preserve">, donde</m:t>
        </m:r>
        <m:r>
          <w:rPr>
            <w:rFonts w:ascii="Cambria Math" w:hAnsi="Cambria Math"/>
          </w:rPr>
          <m:t xml:space="preserve">Cov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y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acc>
                      <m:accPr>
                        <m:chr m:val="´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acc>
                  </m:e>
                </m:d>
                <m:d>
                  <m:dPr>
                    <m:begChr m:val="("/>
                    <m:endChr m:val=")"/>
                  </m:dPr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−</m:t>
                    </m:r>
                    <m:acc>
                      <m:accPr>
                        <m:chr m:val="´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acc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Standard"/>
        <w:ind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</w:p>
    <w:p>
      <w:pPr>
        <w:pStyle w:val="Standard"/>
        <w:jc w:val="both"/>
        <w:rPr/>
      </w:pPr>
      <w:r>
        <w:rPr>
          <w:rFonts w:ascii="Arial Narrow" w:hAnsi="Arial Narrow"/>
          <w:sz w:val="22"/>
          <w:szCs w:val="22"/>
        </w:rPr>
        <w:tab/>
        <w:tab/>
        <w:t xml:space="preserve">•Campo de variación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</m:oMath>
      <w:r>
        <w:rPr>
          <w:rFonts w:ascii="Arial Narrow" w:hAnsi="Arial Narrow"/>
          <w:sz w:val="22"/>
          <w:szCs w:val="22"/>
        </w:rPr>
        <w:t xml:space="preserve">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</m:t>
        </m:r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sz w:val="22"/>
          <w:szCs w:val="22"/>
        </w:rPr>
        <w:tab/>
        <w:tab/>
        <w:t xml:space="preserve">•Si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,7</m:t>
        </m:r>
      </m:oMath>
      <w:r>
        <w:rPr>
          <w:rFonts w:ascii="Arial Narrow" w:hAnsi="Arial Narrow"/>
          <w:sz w:val="22"/>
          <w:szCs w:val="22"/>
        </w:rPr>
        <w:t>: relación fuerte negativa.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ind w:left="709"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•</w:t>
      </w:r>
      <w:r>
        <w:rPr>
          <w:rFonts w:ascii="Arial Narrow" w:hAnsi="Arial Narrow"/>
          <w:sz w:val="22"/>
          <w:szCs w:val="22"/>
        </w:rPr>
        <w:t xml:space="preserve">Si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,7</m:t>
        </m:r>
      </m:oMath>
      <w:r>
        <w:rPr>
          <w:rFonts w:ascii="Arial Narrow" w:hAnsi="Arial Narrow"/>
          <w:sz w:val="22"/>
          <w:szCs w:val="22"/>
        </w:rPr>
        <w:t>: relación fuerte positiva.</w:t>
      </w:r>
    </w:p>
    <w:p>
      <w:pPr>
        <w:pStyle w:val="Standard"/>
        <w:ind w:left="709" w:firstLine="709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  <w:u w:val="single"/>
        </w:rPr>
        <w:t>Coeficiente de determinación</w:t>
      </w:r>
      <w:r>
        <w:rPr>
          <w:rFonts w:ascii="Arial Narrow" w:hAnsi="Arial Narrow"/>
          <w:sz w:val="22"/>
          <w:szCs w:val="22"/>
        </w:rPr>
        <w:t xml:space="preserve"> 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Fonts w:ascii="Arial Narrow" w:hAnsi="Arial Narrow"/>
          <w:sz w:val="22"/>
          <w:szCs w:val="22"/>
        </w:rPr>
        <w:t xml:space="preserve">): </w:t>
      </w:r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</w:r>
    </w:p>
    <w:p>
      <w:pPr>
        <w:pStyle w:val="Standard"/>
        <w:jc w:val="both"/>
        <w:rPr/>
      </w:pPr>
      <w:r>
        <w:rPr>
          <w:rFonts w:ascii="Arial Narrow" w:hAnsi="Arial Narrow"/>
          <w:sz w:val="22"/>
          <w:szCs w:val="22"/>
        </w:rPr>
        <w:tab/>
        <w:tab/>
        <w:t xml:space="preserve">•Campo de variación de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</m:oMath>
      <w:r>
        <w:rPr>
          <w:rFonts w:ascii="Arial Narrow" w:hAnsi="Arial Narrow"/>
          <w:sz w:val="22"/>
          <w:szCs w:val="22"/>
        </w:rPr>
        <w:t xml:space="preserve">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1</m:t>
        </m:r>
      </m:oMath>
    </w:p>
    <w:p>
      <w:pPr>
        <w:pStyle w:val="Standard"/>
        <w:jc w:val="both"/>
        <w:rPr>
          <w:rFonts w:ascii="Arial Narrow" w:hAnsi="Arial Narrow"/>
          <w:sz w:val="22"/>
          <w:szCs w:val="22"/>
        </w:rPr>
      </w:pPr>
      <w:r>
        <w:rPr/>
      </w:r>
    </w:p>
    <w:p>
      <w:pPr>
        <w:pStyle w:val="Standard"/>
        <w:jc w:val="both"/>
        <w:rPr/>
      </w:pPr>
      <w:r>
        <w:rPr>
          <w:rFonts w:ascii="Arial Narrow" w:hAnsi="Arial Narrow"/>
          <w:sz w:val="22"/>
          <w:szCs w:val="22"/>
        </w:rPr>
        <w:tab/>
        <w:tab/>
        <w:t xml:space="preserve">•Si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≥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,5</m:t>
        </m:r>
      </m:oMath>
      <w:r>
        <w:rPr>
          <w:rFonts w:ascii="Arial Narrow" w:hAnsi="Arial Narrow"/>
          <w:sz w:val="22"/>
          <w:szCs w:val="22"/>
        </w:rPr>
        <w:t xml:space="preserve"> entonces existe una fuerte vinculación entre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ascii="Arial Narrow" w:hAnsi="Arial Narrow"/>
          <w:sz w:val="22"/>
          <w:szCs w:val="22"/>
        </w:rPr>
        <w:t xml:space="preserve"> e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Narrow">
    <w:charset w:val="01"/>
    <w:family w:val="roman"/>
    <w:pitch w:val="variable"/>
  </w:font>
  <w:font w:name="Wingdings">
    <w:charset w:val="02"/>
    <w:family w:val="roman"/>
    <w:pitch w:val="variable"/>
  </w:font>
  <w:font w:name="Cambria Math">
    <w:charset w:val="01"/>
    <w:family w:val="roman"/>
    <w:pitch w:val="variable"/>
  </w:font>
  <w:font w:name="Carlito">
    <w:altName w:val="Calibri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AR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Vietas" w:customStyle="1">
    <w:name w:val="Viñetas"/>
    <w:qFormat/>
    <w:rPr>
      <w:rFonts w:ascii="OpenSymbol" w:hAnsi="OpenSymbol" w:eastAsia="OpenSymbol" w:cs="OpenSymbol"/>
    </w:rPr>
  </w:style>
  <w:style w:type="character" w:styleId="Smbolosdenumeracin" w:customStyle="1">
    <w:name w:val="Símbolos de numeración"/>
    <w:qFormat/>
    <w:rPr/>
  </w:style>
  <w:style w:type="character" w:styleId="PlaceholderText">
    <w:name w:val="Placeholder Text"/>
    <w:basedOn w:val="DefaultParagraphFont"/>
    <w:uiPriority w:val="99"/>
    <w:semiHidden/>
    <w:qFormat/>
    <w:rsid w:val="003f565c"/>
    <w:rPr>
      <w:color w:val="808080"/>
    </w:rPr>
  </w:style>
  <w:style w:type="character" w:styleId="ListLabel1">
    <w:name w:val="ListLabel 1"/>
    <w:qFormat/>
    <w:rPr>
      <w:rFonts w:eastAsia="OpenSymbol" w:cs="OpenSymbol"/>
    </w:rPr>
  </w:style>
  <w:style w:type="character" w:styleId="ListLabel2">
    <w:name w:val="ListLabel 2"/>
    <w:qFormat/>
    <w:rPr>
      <w:rFonts w:eastAsia="OpenSymbol" w:cs="OpenSymbol"/>
    </w:rPr>
  </w:style>
  <w:style w:type="character" w:styleId="ListLabel3">
    <w:name w:val="ListLabel 3"/>
    <w:qFormat/>
    <w:rPr>
      <w:rFonts w:eastAsia="OpenSymbol" w:cs="OpenSymbol"/>
    </w:rPr>
  </w:style>
  <w:style w:type="character" w:styleId="ListLabel4">
    <w:name w:val="ListLabel 4"/>
    <w:qFormat/>
    <w:rPr>
      <w:rFonts w:eastAsia="OpenSymbol" w:cs="OpenSymbol"/>
    </w:rPr>
  </w:style>
  <w:style w:type="character" w:styleId="ListLabel5">
    <w:name w:val="ListLabel 5"/>
    <w:qFormat/>
    <w:rPr>
      <w:rFonts w:eastAsia="OpenSymbol" w:cs="OpenSymbol"/>
    </w:rPr>
  </w:style>
  <w:style w:type="character" w:styleId="ListLabel6">
    <w:name w:val="ListLabel 6"/>
    <w:qFormat/>
    <w:rPr>
      <w:rFonts w:eastAsia="OpenSymbol" w:cs="OpenSymbol"/>
    </w:rPr>
  </w:style>
  <w:style w:type="character" w:styleId="ListLabel7">
    <w:name w:val="ListLabel 7"/>
    <w:qFormat/>
    <w:rPr>
      <w:rFonts w:eastAsia="OpenSymbol" w:cs="OpenSymbol"/>
    </w:rPr>
  </w:style>
  <w:style w:type="character" w:styleId="ListLabel8">
    <w:name w:val="ListLabel 8"/>
    <w:qFormat/>
    <w:rPr>
      <w:rFonts w:eastAsia="OpenSymbol" w:cs="OpenSymbol"/>
    </w:rPr>
  </w:style>
  <w:style w:type="character" w:styleId="ListLabel9">
    <w:name w:val="ListLabel 9"/>
    <w:qFormat/>
    <w:rPr>
      <w:rFonts w:eastAsia="OpenSymbol" w:cs="OpenSymbol"/>
    </w:rPr>
  </w:style>
  <w:style w:type="character" w:styleId="ListLabel10">
    <w:name w:val="ListLabel 10"/>
    <w:qFormat/>
    <w:rPr>
      <w:rFonts w:eastAsia="OpenSymbol" w:cs="OpenSymbol"/>
    </w:rPr>
  </w:style>
  <w:style w:type="character" w:styleId="ListLabel11">
    <w:name w:val="ListLabel 11"/>
    <w:qFormat/>
    <w:rPr>
      <w:rFonts w:eastAsia="OpenSymbol" w:cs="OpenSymbol"/>
    </w:rPr>
  </w:style>
  <w:style w:type="character" w:styleId="ListLabel12">
    <w:name w:val="ListLabel 12"/>
    <w:qFormat/>
    <w:rPr>
      <w:rFonts w:eastAsia="OpenSymbol" w:cs="OpenSymbol"/>
    </w:rPr>
  </w:style>
  <w:style w:type="character" w:styleId="ListLabel13">
    <w:name w:val="ListLabel 13"/>
    <w:qFormat/>
    <w:rPr>
      <w:rFonts w:eastAsia="OpenSymbol" w:cs="OpenSymbol"/>
    </w:rPr>
  </w:style>
  <w:style w:type="character" w:styleId="ListLabel14">
    <w:name w:val="ListLabel 14"/>
    <w:qFormat/>
    <w:rPr>
      <w:rFonts w:eastAsia="OpenSymbol" w:cs="OpenSymbol"/>
    </w:rPr>
  </w:style>
  <w:style w:type="character" w:styleId="ListLabel15">
    <w:name w:val="ListLabel 15"/>
    <w:qFormat/>
    <w:rPr>
      <w:rFonts w:eastAsia="OpenSymbol" w:cs="OpenSymbol"/>
    </w:rPr>
  </w:style>
  <w:style w:type="character" w:styleId="ListLabel16">
    <w:name w:val="ListLabel 16"/>
    <w:qFormat/>
    <w:rPr>
      <w:rFonts w:eastAsia="OpenSymbol" w:cs="OpenSymbol"/>
    </w:rPr>
  </w:style>
  <w:style w:type="character" w:styleId="ListLabel17">
    <w:name w:val="ListLabel 17"/>
    <w:qFormat/>
    <w:rPr>
      <w:rFonts w:eastAsia="OpenSymbol" w:cs="OpenSymbol"/>
    </w:rPr>
  </w:style>
  <w:style w:type="character" w:styleId="ListLabel18">
    <w:name w:val="ListLabel 18"/>
    <w:qFormat/>
    <w:rPr>
      <w:rFonts w:eastAsia="OpenSymbol" w:cs="OpenSymbol"/>
    </w:rPr>
  </w:style>
  <w:style w:type="character" w:styleId="ListLabel19">
    <w:name w:val="ListLabel 19"/>
    <w:qFormat/>
    <w:rPr>
      <w:rFonts w:eastAsia="OpenSymbol" w:cs="OpenSymbol"/>
    </w:rPr>
  </w:style>
  <w:style w:type="character" w:styleId="ListLabel20">
    <w:name w:val="ListLabel 20"/>
    <w:qFormat/>
    <w:rPr>
      <w:rFonts w:eastAsia="OpenSymbol" w:cs="OpenSymbol"/>
    </w:rPr>
  </w:style>
  <w:style w:type="character" w:styleId="ListLabel21">
    <w:name w:val="ListLabel 21"/>
    <w:qFormat/>
    <w:rPr>
      <w:rFonts w:eastAsia="OpenSymbol" w:cs="OpenSymbol"/>
    </w:rPr>
  </w:style>
  <w:style w:type="character" w:styleId="ListLabel22">
    <w:name w:val="ListLabel 22"/>
    <w:qFormat/>
    <w:rPr>
      <w:rFonts w:eastAsia="OpenSymbol" w:cs="OpenSymbol"/>
    </w:rPr>
  </w:style>
  <w:style w:type="character" w:styleId="ListLabel23">
    <w:name w:val="ListLabel 23"/>
    <w:qFormat/>
    <w:rPr>
      <w:rFonts w:eastAsia="OpenSymbol" w:cs="OpenSymbol"/>
    </w:rPr>
  </w:style>
  <w:style w:type="character" w:styleId="ListLabel24">
    <w:name w:val="ListLabel 24"/>
    <w:qFormat/>
    <w:rPr>
      <w:rFonts w:eastAsia="OpenSymbol" w:cs="OpenSymbol"/>
    </w:rPr>
  </w:style>
  <w:style w:type="character" w:styleId="ListLabel25">
    <w:name w:val="ListLabel 25"/>
    <w:qFormat/>
    <w:rPr>
      <w:rFonts w:eastAsia="OpenSymbol" w:cs="OpenSymbol"/>
    </w:rPr>
  </w:style>
  <w:style w:type="character" w:styleId="ListLabel26">
    <w:name w:val="ListLabel 26"/>
    <w:qFormat/>
    <w:rPr>
      <w:rFonts w:eastAsia="OpenSymbol" w:cs="OpenSymbol"/>
    </w:rPr>
  </w:style>
  <w:style w:type="character" w:styleId="ListLabel27">
    <w:name w:val="ListLabel 27"/>
    <w:qFormat/>
    <w:rPr>
      <w:rFonts w:eastAsia="OpenSymbol" w:cs="OpenSymbol"/>
    </w:rPr>
  </w:style>
  <w:style w:type="character" w:styleId="ListLabel28">
    <w:name w:val="ListLabel 28"/>
    <w:qFormat/>
    <w:rPr>
      <w:rFonts w:eastAsia="OpenSymbol" w:cs="OpenSymbol"/>
    </w:rPr>
  </w:style>
  <w:style w:type="character" w:styleId="ListLabel29">
    <w:name w:val="ListLabel 29"/>
    <w:qFormat/>
    <w:rPr>
      <w:rFonts w:eastAsia="OpenSymbol" w:cs="OpenSymbol"/>
    </w:rPr>
  </w:style>
  <w:style w:type="character" w:styleId="ListLabel30">
    <w:name w:val="ListLabel 30"/>
    <w:qFormat/>
    <w:rPr>
      <w:rFonts w:eastAsia="OpenSymbol" w:cs="OpenSymbol"/>
    </w:rPr>
  </w:style>
  <w:style w:type="character" w:styleId="ListLabel31">
    <w:name w:val="ListLabel 31"/>
    <w:qFormat/>
    <w:rPr>
      <w:rFonts w:eastAsia="OpenSymbol" w:cs="OpenSymbol"/>
    </w:rPr>
  </w:style>
  <w:style w:type="character" w:styleId="ListLabel32">
    <w:name w:val="ListLabel 32"/>
    <w:qFormat/>
    <w:rPr>
      <w:rFonts w:eastAsia="OpenSymbol" w:cs="OpenSymbol"/>
    </w:rPr>
  </w:style>
  <w:style w:type="character" w:styleId="ListLabel33">
    <w:name w:val="ListLabel 33"/>
    <w:qFormat/>
    <w:rPr>
      <w:rFonts w:eastAsia="OpenSymbol" w:cs="OpenSymbol"/>
    </w:rPr>
  </w:style>
  <w:style w:type="character" w:styleId="ListLabel34">
    <w:name w:val="ListLabel 34"/>
    <w:qFormat/>
    <w:rPr>
      <w:rFonts w:eastAsia="OpenSymbol" w:cs="OpenSymbol"/>
    </w:rPr>
  </w:style>
  <w:style w:type="character" w:styleId="ListLabel35">
    <w:name w:val="ListLabel 35"/>
    <w:qFormat/>
    <w:rPr>
      <w:rFonts w:eastAsia="OpenSymbol" w:cs="OpenSymbol"/>
    </w:rPr>
  </w:style>
  <w:style w:type="character" w:styleId="ListLabel36">
    <w:name w:val="ListLabel 36"/>
    <w:qFormat/>
    <w:rPr>
      <w:rFonts w:eastAsia="OpenSymbol" w:cs="OpenSymbol"/>
    </w:rPr>
  </w:style>
  <w:style w:type="character" w:styleId="ListLabel37">
    <w:name w:val="ListLabel 37"/>
    <w:qFormat/>
    <w:rPr>
      <w:rFonts w:eastAsia="OpenSymbol" w:cs="OpenSymbol"/>
    </w:rPr>
  </w:style>
  <w:style w:type="character" w:styleId="ListLabel38">
    <w:name w:val="ListLabel 38"/>
    <w:qFormat/>
    <w:rPr>
      <w:rFonts w:eastAsia="OpenSymbol" w:cs="OpenSymbol"/>
    </w:rPr>
  </w:style>
  <w:style w:type="character" w:styleId="ListLabel39">
    <w:name w:val="ListLabel 39"/>
    <w:qFormat/>
    <w:rPr>
      <w:rFonts w:eastAsia="OpenSymbol" w:cs="OpenSymbol"/>
    </w:rPr>
  </w:style>
  <w:style w:type="character" w:styleId="ListLabel40">
    <w:name w:val="ListLabel 40"/>
    <w:qFormat/>
    <w:rPr>
      <w:rFonts w:eastAsia="OpenSymbol" w:cs="OpenSymbol"/>
    </w:rPr>
  </w:style>
  <w:style w:type="character" w:styleId="ListLabel41">
    <w:name w:val="ListLabel 41"/>
    <w:qFormat/>
    <w:rPr>
      <w:rFonts w:eastAsia="OpenSymbol" w:cs="OpenSymbol"/>
    </w:rPr>
  </w:style>
  <w:style w:type="character" w:styleId="ListLabel42">
    <w:name w:val="ListLabel 42"/>
    <w:qFormat/>
    <w:rPr>
      <w:rFonts w:eastAsia="OpenSymbol" w:cs="OpenSymbol"/>
    </w:rPr>
  </w:style>
  <w:style w:type="character" w:styleId="ListLabel43">
    <w:name w:val="ListLabel 43"/>
    <w:qFormat/>
    <w:rPr>
      <w:rFonts w:eastAsia="OpenSymbol" w:cs="OpenSymbol"/>
    </w:rPr>
  </w:style>
  <w:style w:type="character" w:styleId="ListLabel44">
    <w:name w:val="ListLabel 44"/>
    <w:qFormat/>
    <w:rPr>
      <w:rFonts w:eastAsia="OpenSymbol" w:cs="OpenSymbol"/>
    </w:rPr>
  </w:style>
  <w:style w:type="character" w:styleId="ListLabel45">
    <w:name w:val="ListLabel 45"/>
    <w:qFormat/>
    <w:rPr>
      <w:rFonts w:eastAsia="OpenSymbol" w:cs="OpenSymbol"/>
    </w:rPr>
  </w:style>
  <w:style w:type="character" w:styleId="ListLabel46">
    <w:name w:val="ListLabel 46"/>
    <w:qFormat/>
    <w:rPr>
      <w:rFonts w:eastAsia="OpenSymbol" w:cs="OpenSymbol"/>
    </w:rPr>
  </w:style>
  <w:style w:type="character" w:styleId="ListLabel47">
    <w:name w:val="ListLabel 47"/>
    <w:qFormat/>
    <w:rPr>
      <w:rFonts w:eastAsia="OpenSymbol" w:cs="OpenSymbol"/>
    </w:rPr>
  </w:style>
  <w:style w:type="character" w:styleId="ListLabel48">
    <w:name w:val="ListLabel 48"/>
    <w:qFormat/>
    <w:rPr>
      <w:rFonts w:eastAsia="OpenSymbol" w:cs="OpenSymbol"/>
    </w:rPr>
  </w:style>
  <w:style w:type="character" w:styleId="ListLabel49">
    <w:name w:val="ListLabel 49"/>
    <w:qFormat/>
    <w:rPr>
      <w:rFonts w:eastAsia="OpenSymbol" w:cs="OpenSymbol"/>
    </w:rPr>
  </w:style>
  <w:style w:type="character" w:styleId="ListLabel50">
    <w:name w:val="ListLabel 50"/>
    <w:qFormat/>
    <w:rPr>
      <w:rFonts w:eastAsia="OpenSymbol" w:cs="OpenSymbol"/>
    </w:rPr>
  </w:style>
  <w:style w:type="character" w:styleId="ListLabel51">
    <w:name w:val="ListLabel 51"/>
    <w:qFormat/>
    <w:rPr>
      <w:rFonts w:eastAsia="OpenSymbol" w:cs="OpenSymbol"/>
    </w:rPr>
  </w:style>
  <w:style w:type="character" w:styleId="ListLabel52">
    <w:name w:val="ListLabel 52"/>
    <w:qFormat/>
    <w:rPr>
      <w:rFonts w:eastAsia="OpenSymbol" w:cs="OpenSymbol"/>
    </w:rPr>
  </w:style>
  <w:style w:type="character" w:styleId="ListLabel53">
    <w:name w:val="ListLabel 53"/>
    <w:qFormat/>
    <w:rPr>
      <w:rFonts w:eastAsia="OpenSymbol" w:cs="OpenSymbol"/>
    </w:rPr>
  </w:style>
  <w:style w:type="character" w:styleId="ListLabel54">
    <w:name w:val="ListLabel 54"/>
    <w:qFormat/>
    <w:rPr>
      <w:rFonts w:eastAsia="OpenSymbol" w:cs="OpenSymbol"/>
    </w:rPr>
  </w:style>
  <w:style w:type="character" w:styleId="ListLabel55">
    <w:name w:val="ListLabel 55"/>
    <w:qFormat/>
    <w:rPr>
      <w:rFonts w:eastAsia="OpenSymbol" w:cs="OpenSymbol"/>
    </w:rPr>
  </w:style>
  <w:style w:type="character" w:styleId="ListLabel56">
    <w:name w:val="ListLabel 56"/>
    <w:qFormat/>
    <w:rPr>
      <w:rFonts w:eastAsia="OpenSymbol" w:cs="OpenSymbol"/>
    </w:rPr>
  </w:style>
  <w:style w:type="character" w:styleId="ListLabel57">
    <w:name w:val="ListLabel 57"/>
    <w:qFormat/>
    <w:rPr>
      <w:rFonts w:eastAsia="OpenSymbol" w:cs="OpenSymbol"/>
    </w:rPr>
  </w:style>
  <w:style w:type="character" w:styleId="ListLabel58">
    <w:name w:val="ListLabel 58"/>
    <w:qFormat/>
    <w:rPr>
      <w:rFonts w:eastAsia="OpenSymbol" w:cs="OpenSymbol"/>
    </w:rPr>
  </w:style>
  <w:style w:type="character" w:styleId="ListLabel59">
    <w:name w:val="ListLabel 59"/>
    <w:qFormat/>
    <w:rPr>
      <w:rFonts w:eastAsia="OpenSymbol" w:cs="OpenSymbol"/>
    </w:rPr>
  </w:style>
  <w:style w:type="character" w:styleId="ListLabel60">
    <w:name w:val="ListLabel 60"/>
    <w:qFormat/>
    <w:rPr>
      <w:rFonts w:eastAsia="OpenSymbol" w:cs="OpenSymbol"/>
    </w:rPr>
  </w:style>
  <w:style w:type="character" w:styleId="ListLabel61">
    <w:name w:val="ListLabel 61"/>
    <w:qFormat/>
    <w:rPr>
      <w:rFonts w:eastAsia="OpenSymbol" w:cs="OpenSymbol"/>
    </w:rPr>
  </w:style>
  <w:style w:type="character" w:styleId="ListLabel62">
    <w:name w:val="ListLabel 62"/>
    <w:qFormat/>
    <w:rPr>
      <w:rFonts w:eastAsia="OpenSymbol" w:cs="OpenSymbol"/>
    </w:rPr>
  </w:style>
  <w:style w:type="character" w:styleId="ListLabel63">
    <w:name w:val="ListLabel 63"/>
    <w:qFormat/>
    <w:rPr>
      <w:rFonts w:eastAsia="OpenSymbol" w:cs="OpenSymbol"/>
    </w:rPr>
  </w:style>
  <w:style w:type="character" w:styleId="ListLabel64">
    <w:name w:val="ListLabel 64"/>
    <w:qFormat/>
    <w:rPr>
      <w:rFonts w:eastAsia="OpenSymbol" w:cs="OpenSymbol"/>
    </w:rPr>
  </w:style>
  <w:style w:type="character" w:styleId="ListLabel65">
    <w:name w:val="ListLabel 65"/>
    <w:qFormat/>
    <w:rPr>
      <w:rFonts w:eastAsia="OpenSymbol" w:cs="OpenSymbol"/>
    </w:rPr>
  </w:style>
  <w:style w:type="character" w:styleId="ListLabel66">
    <w:name w:val="ListLabel 66"/>
    <w:qFormat/>
    <w:rPr>
      <w:rFonts w:eastAsia="OpenSymbol" w:cs="OpenSymbol"/>
    </w:rPr>
  </w:style>
  <w:style w:type="character" w:styleId="ListLabel67">
    <w:name w:val="ListLabel 67"/>
    <w:qFormat/>
    <w:rPr>
      <w:rFonts w:eastAsia="OpenSymbol" w:cs="OpenSymbol"/>
    </w:rPr>
  </w:style>
  <w:style w:type="character" w:styleId="ListLabel68">
    <w:name w:val="ListLabel 68"/>
    <w:qFormat/>
    <w:rPr>
      <w:rFonts w:eastAsia="OpenSymbol" w:cs="OpenSymbol"/>
    </w:rPr>
  </w:style>
  <w:style w:type="character" w:styleId="ListLabel69">
    <w:name w:val="ListLabel 69"/>
    <w:qFormat/>
    <w:rPr>
      <w:rFonts w:eastAsia="OpenSymbol" w:cs="OpenSymbol"/>
    </w:rPr>
  </w:style>
  <w:style w:type="character" w:styleId="ListLabel70">
    <w:name w:val="ListLabel 70"/>
    <w:qFormat/>
    <w:rPr>
      <w:rFonts w:eastAsia="OpenSymbol" w:cs="OpenSymbol"/>
    </w:rPr>
  </w:style>
  <w:style w:type="character" w:styleId="ListLabel71">
    <w:name w:val="ListLabel 71"/>
    <w:qFormat/>
    <w:rPr>
      <w:rFonts w:eastAsia="OpenSymbol" w:cs="OpenSymbol"/>
    </w:rPr>
  </w:style>
  <w:style w:type="character" w:styleId="ListLabel72">
    <w:name w:val="ListLabel 72"/>
    <w:qFormat/>
    <w:rPr>
      <w:rFonts w:eastAsia="OpenSymbol" w:cs="OpenSymbol"/>
    </w:rPr>
  </w:style>
  <w:style w:type="character" w:styleId="ListLabel73">
    <w:name w:val="ListLabel 73"/>
    <w:qFormat/>
    <w:rPr>
      <w:rFonts w:eastAsia="OpenSymbol" w:cs="OpenSymbol"/>
    </w:rPr>
  </w:style>
  <w:style w:type="character" w:styleId="ListLabel74">
    <w:name w:val="ListLabel 74"/>
    <w:qFormat/>
    <w:rPr>
      <w:rFonts w:eastAsia="OpenSymbol" w:cs="OpenSymbol"/>
    </w:rPr>
  </w:style>
  <w:style w:type="character" w:styleId="ListLabel75">
    <w:name w:val="ListLabel 75"/>
    <w:qFormat/>
    <w:rPr>
      <w:rFonts w:eastAsia="OpenSymbol" w:cs="OpenSymbol"/>
    </w:rPr>
  </w:style>
  <w:style w:type="character" w:styleId="ListLabel76">
    <w:name w:val="ListLabel 76"/>
    <w:qFormat/>
    <w:rPr>
      <w:rFonts w:eastAsia="OpenSymbol" w:cs="OpenSymbol"/>
    </w:rPr>
  </w:style>
  <w:style w:type="character" w:styleId="ListLabel77">
    <w:name w:val="ListLabel 77"/>
    <w:qFormat/>
    <w:rPr>
      <w:rFonts w:eastAsia="OpenSymbol" w:cs="OpenSymbol"/>
    </w:rPr>
  </w:style>
  <w:style w:type="character" w:styleId="ListLabel78">
    <w:name w:val="ListLabel 78"/>
    <w:qFormat/>
    <w:rPr>
      <w:rFonts w:eastAsia="OpenSymbol" w:cs="OpenSymbol"/>
    </w:rPr>
  </w:style>
  <w:style w:type="character" w:styleId="ListLabel79">
    <w:name w:val="ListLabel 79"/>
    <w:qFormat/>
    <w:rPr>
      <w:rFonts w:eastAsia="OpenSymbol" w:cs="OpenSymbol"/>
    </w:rPr>
  </w:style>
  <w:style w:type="character" w:styleId="ListLabel80">
    <w:name w:val="ListLabel 80"/>
    <w:qFormat/>
    <w:rPr>
      <w:rFonts w:eastAsia="OpenSymbol" w:cs="OpenSymbol"/>
    </w:rPr>
  </w:style>
  <w:style w:type="character" w:styleId="ListLabel81">
    <w:name w:val="ListLabel 81"/>
    <w:qFormat/>
    <w:rPr>
      <w:rFonts w:eastAsia="OpenSymbol" w:cs="OpenSymbol"/>
    </w:rPr>
  </w:style>
  <w:style w:type="character" w:styleId="ListLabel82">
    <w:name w:val="ListLabel 82"/>
    <w:qFormat/>
    <w:rPr>
      <w:rFonts w:eastAsia="OpenSymbol" w:cs="OpenSymbol"/>
    </w:rPr>
  </w:style>
  <w:style w:type="character" w:styleId="ListLabel83">
    <w:name w:val="ListLabel 83"/>
    <w:qFormat/>
    <w:rPr>
      <w:rFonts w:eastAsia="OpenSymbol" w:cs="OpenSymbol"/>
    </w:rPr>
  </w:style>
  <w:style w:type="character" w:styleId="ListLabel84">
    <w:name w:val="ListLabel 84"/>
    <w:qFormat/>
    <w:rPr>
      <w:rFonts w:eastAsia="OpenSymbol" w:cs="OpenSymbol"/>
    </w:rPr>
  </w:style>
  <w:style w:type="character" w:styleId="ListLabel85">
    <w:name w:val="ListLabel 85"/>
    <w:qFormat/>
    <w:rPr>
      <w:rFonts w:eastAsia="OpenSymbol" w:cs="OpenSymbol"/>
    </w:rPr>
  </w:style>
  <w:style w:type="character" w:styleId="ListLabel86">
    <w:name w:val="ListLabel 86"/>
    <w:qFormat/>
    <w:rPr>
      <w:rFonts w:eastAsia="OpenSymbol" w:cs="OpenSymbol"/>
    </w:rPr>
  </w:style>
  <w:style w:type="character" w:styleId="ListLabel87">
    <w:name w:val="ListLabel 87"/>
    <w:qFormat/>
    <w:rPr>
      <w:rFonts w:eastAsia="OpenSymbol" w:cs="OpenSymbol"/>
    </w:rPr>
  </w:style>
  <w:style w:type="character" w:styleId="ListLabel88">
    <w:name w:val="ListLabel 88"/>
    <w:qFormat/>
    <w:rPr>
      <w:rFonts w:eastAsia="OpenSymbol" w:cs="OpenSymbol"/>
    </w:rPr>
  </w:style>
  <w:style w:type="character" w:styleId="ListLabel89">
    <w:name w:val="ListLabel 89"/>
    <w:qFormat/>
    <w:rPr>
      <w:rFonts w:eastAsia="OpenSymbol" w:cs="OpenSymbol"/>
    </w:rPr>
  </w:style>
  <w:style w:type="character" w:styleId="ListLabel90">
    <w:name w:val="ListLabel 90"/>
    <w:qFormat/>
    <w:rPr>
      <w:rFonts w:eastAsia="OpenSymbol" w:cs="OpenSymbol"/>
    </w:rPr>
  </w:style>
  <w:style w:type="character" w:styleId="ListLabel91">
    <w:name w:val="ListLabel 91"/>
    <w:qFormat/>
    <w:rPr>
      <w:rFonts w:eastAsia="OpenSymbol" w:cs="OpenSymbol"/>
    </w:rPr>
  </w:style>
  <w:style w:type="character" w:styleId="ListLabel92">
    <w:name w:val="ListLabel 92"/>
    <w:qFormat/>
    <w:rPr>
      <w:rFonts w:eastAsia="OpenSymbol" w:cs="OpenSymbol"/>
    </w:rPr>
  </w:style>
  <w:style w:type="character" w:styleId="ListLabel93">
    <w:name w:val="ListLabel 93"/>
    <w:qFormat/>
    <w:rPr>
      <w:rFonts w:eastAsia="OpenSymbol" w:cs="OpenSymbol"/>
    </w:rPr>
  </w:style>
  <w:style w:type="character" w:styleId="ListLabel94">
    <w:name w:val="ListLabel 94"/>
    <w:qFormat/>
    <w:rPr>
      <w:rFonts w:eastAsia="OpenSymbol" w:cs="OpenSymbol"/>
    </w:rPr>
  </w:style>
  <w:style w:type="character" w:styleId="ListLabel95">
    <w:name w:val="ListLabel 95"/>
    <w:qFormat/>
    <w:rPr>
      <w:rFonts w:eastAsia="OpenSymbol" w:cs="OpenSymbol"/>
    </w:rPr>
  </w:style>
  <w:style w:type="character" w:styleId="ListLabel96">
    <w:name w:val="ListLabel 96"/>
    <w:qFormat/>
    <w:rPr>
      <w:rFonts w:eastAsia="OpenSymbol" w:cs="OpenSymbol"/>
    </w:rPr>
  </w:style>
  <w:style w:type="character" w:styleId="ListLabel97">
    <w:name w:val="ListLabel 97"/>
    <w:qFormat/>
    <w:rPr>
      <w:rFonts w:eastAsia="OpenSymbol" w:cs="OpenSymbol"/>
    </w:rPr>
  </w:style>
  <w:style w:type="character" w:styleId="ListLabel98">
    <w:name w:val="ListLabel 98"/>
    <w:qFormat/>
    <w:rPr>
      <w:rFonts w:eastAsia="OpenSymbol" w:cs="OpenSymbol"/>
    </w:rPr>
  </w:style>
  <w:style w:type="character" w:styleId="ListLabel99">
    <w:name w:val="ListLabel 99"/>
    <w:qFormat/>
    <w:rPr>
      <w:rFonts w:eastAsia="OpenSymbol" w:cs="OpenSymbol"/>
    </w:rPr>
  </w:style>
  <w:style w:type="character" w:styleId="ListLabel100">
    <w:name w:val="ListLabel 100"/>
    <w:qFormat/>
    <w:rPr>
      <w:rFonts w:eastAsia="OpenSymbol" w:cs="OpenSymbol"/>
    </w:rPr>
  </w:style>
  <w:style w:type="character" w:styleId="ListLabel101">
    <w:name w:val="ListLabel 101"/>
    <w:qFormat/>
    <w:rPr>
      <w:rFonts w:eastAsia="OpenSymbol" w:cs="OpenSymbol"/>
    </w:rPr>
  </w:style>
  <w:style w:type="character" w:styleId="ListLabel102">
    <w:name w:val="ListLabel 102"/>
    <w:qFormat/>
    <w:rPr>
      <w:rFonts w:eastAsia="OpenSymbol" w:cs="OpenSymbol"/>
    </w:rPr>
  </w:style>
  <w:style w:type="character" w:styleId="ListLabel103">
    <w:name w:val="ListLabel 103"/>
    <w:qFormat/>
    <w:rPr>
      <w:rFonts w:eastAsia="OpenSymbol" w:cs="OpenSymbol"/>
    </w:rPr>
  </w:style>
  <w:style w:type="character" w:styleId="ListLabel104">
    <w:name w:val="ListLabel 104"/>
    <w:qFormat/>
    <w:rPr>
      <w:rFonts w:eastAsia="OpenSymbol" w:cs="OpenSymbol"/>
    </w:rPr>
  </w:style>
  <w:style w:type="character" w:styleId="ListLabel105">
    <w:name w:val="ListLabel 105"/>
    <w:qFormat/>
    <w:rPr>
      <w:rFonts w:eastAsia="OpenSymbol" w:cs="OpenSymbol"/>
    </w:rPr>
  </w:style>
  <w:style w:type="character" w:styleId="ListLabel106">
    <w:name w:val="ListLabel 106"/>
    <w:qFormat/>
    <w:rPr>
      <w:rFonts w:eastAsia="OpenSymbol" w:cs="OpenSymbol"/>
    </w:rPr>
  </w:style>
  <w:style w:type="character" w:styleId="ListLabel107">
    <w:name w:val="ListLabel 107"/>
    <w:qFormat/>
    <w:rPr>
      <w:rFonts w:eastAsia="OpenSymbol" w:cs="OpenSymbol"/>
    </w:rPr>
  </w:style>
  <w:style w:type="character" w:styleId="ListLabel108">
    <w:name w:val="ListLabel 108"/>
    <w:qFormat/>
    <w:rPr>
      <w:rFonts w:eastAsia="OpenSymbol" w:cs="OpenSymbol"/>
    </w:rPr>
  </w:style>
  <w:style w:type="character" w:styleId="ListLabel109">
    <w:name w:val="ListLabel 109"/>
    <w:qFormat/>
    <w:rPr>
      <w:rFonts w:eastAsia="OpenSymbol" w:cs="OpenSymbol"/>
    </w:rPr>
  </w:style>
  <w:style w:type="character" w:styleId="ListLabel110">
    <w:name w:val="ListLabel 110"/>
    <w:qFormat/>
    <w:rPr>
      <w:rFonts w:eastAsia="OpenSymbol" w:cs="OpenSymbol"/>
    </w:rPr>
  </w:style>
  <w:style w:type="character" w:styleId="ListLabel111">
    <w:name w:val="ListLabel 111"/>
    <w:qFormat/>
    <w:rPr>
      <w:rFonts w:eastAsia="OpenSymbol" w:cs="OpenSymbol"/>
    </w:rPr>
  </w:style>
  <w:style w:type="character" w:styleId="ListLabel112">
    <w:name w:val="ListLabel 112"/>
    <w:qFormat/>
    <w:rPr>
      <w:rFonts w:eastAsia="OpenSymbol" w:cs="OpenSymbol"/>
    </w:rPr>
  </w:style>
  <w:style w:type="character" w:styleId="ListLabel113">
    <w:name w:val="ListLabel 113"/>
    <w:qFormat/>
    <w:rPr>
      <w:rFonts w:eastAsia="OpenSymbol" w:cs="OpenSymbol"/>
    </w:rPr>
  </w:style>
  <w:style w:type="character" w:styleId="ListLabel114">
    <w:name w:val="ListLabel 114"/>
    <w:qFormat/>
    <w:rPr>
      <w:rFonts w:eastAsia="OpenSymbol" w:cs="OpenSymbol"/>
    </w:rPr>
  </w:style>
  <w:style w:type="character" w:styleId="ListLabel115">
    <w:name w:val="ListLabel 115"/>
    <w:qFormat/>
    <w:rPr>
      <w:rFonts w:eastAsia="OpenSymbol" w:cs="OpenSymbol"/>
    </w:rPr>
  </w:style>
  <w:style w:type="character" w:styleId="ListLabel116">
    <w:name w:val="ListLabel 116"/>
    <w:qFormat/>
    <w:rPr>
      <w:rFonts w:eastAsia="OpenSymbol" w:cs="OpenSymbol"/>
    </w:rPr>
  </w:style>
  <w:style w:type="character" w:styleId="ListLabel117">
    <w:name w:val="ListLabel 117"/>
    <w:qFormat/>
    <w:rPr>
      <w:rFonts w:eastAsia="OpenSymbol" w:cs="OpenSymbol"/>
    </w:rPr>
  </w:style>
  <w:style w:type="character" w:styleId="ListLabel118">
    <w:name w:val="ListLabel 118"/>
    <w:qFormat/>
    <w:rPr>
      <w:rFonts w:eastAsia="OpenSymbol" w:cs="OpenSymbol"/>
    </w:rPr>
  </w:style>
  <w:style w:type="character" w:styleId="ListLabel119">
    <w:name w:val="ListLabel 119"/>
    <w:qFormat/>
    <w:rPr>
      <w:rFonts w:eastAsia="OpenSymbol" w:cs="OpenSymbol"/>
    </w:rPr>
  </w:style>
  <w:style w:type="character" w:styleId="ListLabel120">
    <w:name w:val="ListLabel 120"/>
    <w:qFormat/>
    <w:rPr>
      <w:rFonts w:eastAsia="OpenSymbol" w:cs="OpenSymbol"/>
    </w:rPr>
  </w:style>
  <w:style w:type="character" w:styleId="ListLabel121">
    <w:name w:val="ListLabel 121"/>
    <w:qFormat/>
    <w:rPr>
      <w:rFonts w:eastAsia="OpenSymbol" w:cs="OpenSymbol"/>
    </w:rPr>
  </w:style>
  <w:style w:type="character" w:styleId="ListLabel122">
    <w:name w:val="ListLabel 122"/>
    <w:qFormat/>
    <w:rPr>
      <w:rFonts w:eastAsia="OpenSymbol" w:cs="OpenSymbol"/>
    </w:rPr>
  </w:style>
  <w:style w:type="character" w:styleId="ListLabel123">
    <w:name w:val="ListLabel 123"/>
    <w:qFormat/>
    <w:rPr>
      <w:rFonts w:eastAsia="OpenSymbol" w:cs="OpenSymbol"/>
    </w:rPr>
  </w:style>
  <w:style w:type="character" w:styleId="ListLabel124">
    <w:name w:val="ListLabel 124"/>
    <w:qFormat/>
    <w:rPr>
      <w:rFonts w:eastAsia="OpenSymbol" w:cs="OpenSymbol"/>
    </w:rPr>
  </w:style>
  <w:style w:type="character" w:styleId="ListLabel125">
    <w:name w:val="ListLabel 125"/>
    <w:qFormat/>
    <w:rPr>
      <w:rFonts w:eastAsia="OpenSymbol" w:cs="OpenSymbol"/>
    </w:rPr>
  </w:style>
  <w:style w:type="character" w:styleId="ListLabel126">
    <w:name w:val="ListLabel 126"/>
    <w:qFormat/>
    <w:rPr>
      <w:rFonts w:eastAsia="OpenSymbol" w:cs="OpenSymbol"/>
    </w:rPr>
  </w:style>
  <w:style w:type="character" w:styleId="ListLabel127">
    <w:name w:val="ListLabel 127"/>
    <w:qFormat/>
    <w:rPr>
      <w:rFonts w:eastAsia="OpenSymbol" w:cs="OpenSymbol"/>
    </w:rPr>
  </w:style>
  <w:style w:type="character" w:styleId="ListLabel128">
    <w:name w:val="ListLabel 128"/>
    <w:qFormat/>
    <w:rPr>
      <w:rFonts w:eastAsia="OpenSymbol" w:cs="OpenSymbol"/>
    </w:rPr>
  </w:style>
  <w:style w:type="character" w:styleId="ListLabel129">
    <w:name w:val="ListLabel 129"/>
    <w:qFormat/>
    <w:rPr>
      <w:rFonts w:eastAsia="OpenSymbol" w:cs="OpenSymbol"/>
    </w:rPr>
  </w:style>
  <w:style w:type="character" w:styleId="ListLabel130">
    <w:name w:val="ListLabel 130"/>
    <w:qFormat/>
    <w:rPr>
      <w:rFonts w:eastAsia="OpenSymbol" w:cs="OpenSymbol"/>
    </w:rPr>
  </w:style>
  <w:style w:type="character" w:styleId="ListLabel131">
    <w:name w:val="ListLabel 131"/>
    <w:qFormat/>
    <w:rPr>
      <w:rFonts w:eastAsia="OpenSymbol" w:cs="OpenSymbol"/>
    </w:rPr>
  </w:style>
  <w:style w:type="character" w:styleId="ListLabel132">
    <w:name w:val="ListLabel 132"/>
    <w:qFormat/>
    <w:rPr>
      <w:rFonts w:eastAsia="OpenSymbol" w:cs="OpenSymbol"/>
    </w:rPr>
  </w:style>
  <w:style w:type="character" w:styleId="ListLabel133">
    <w:name w:val="ListLabel 133"/>
    <w:qFormat/>
    <w:rPr>
      <w:rFonts w:eastAsia="OpenSymbol" w:cs="OpenSymbol"/>
    </w:rPr>
  </w:style>
  <w:style w:type="character" w:styleId="ListLabel134">
    <w:name w:val="ListLabel 134"/>
    <w:qFormat/>
    <w:rPr>
      <w:rFonts w:eastAsia="OpenSymbol" w:cs="OpenSymbol"/>
    </w:rPr>
  </w:style>
  <w:style w:type="character" w:styleId="ListLabel135">
    <w:name w:val="ListLabel 135"/>
    <w:qFormat/>
    <w:rPr>
      <w:rFonts w:eastAsia="OpenSymbol" w:cs="OpenSymbol"/>
    </w:rPr>
  </w:style>
  <w:style w:type="character" w:styleId="ListLabel136">
    <w:name w:val="ListLabel 136"/>
    <w:qFormat/>
    <w:rPr>
      <w:rFonts w:eastAsia="OpenSymbol" w:cs="OpenSymbol"/>
    </w:rPr>
  </w:style>
  <w:style w:type="character" w:styleId="ListLabel137">
    <w:name w:val="ListLabel 137"/>
    <w:qFormat/>
    <w:rPr>
      <w:rFonts w:eastAsia="OpenSymbol" w:cs="OpenSymbol"/>
    </w:rPr>
  </w:style>
  <w:style w:type="character" w:styleId="ListLabel138">
    <w:name w:val="ListLabel 138"/>
    <w:qFormat/>
    <w:rPr>
      <w:rFonts w:eastAsia="OpenSymbol" w:cs="OpenSymbol"/>
    </w:rPr>
  </w:style>
  <w:style w:type="character" w:styleId="ListLabel139">
    <w:name w:val="ListLabel 139"/>
    <w:qFormat/>
    <w:rPr>
      <w:rFonts w:eastAsia="OpenSymbol" w:cs="OpenSymbol"/>
    </w:rPr>
  </w:style>
  <w:style w:type="character" w:styleId="ListLabel140">
    <w:name w:val="ListLabel 140"/>
    <w:qFormat/>
    <w:rPr>
      <w:rFonts w:eastAsia="OpenSymbol" w:cs="OpenSymbol"/>
    </w:rPr>
  </w:style>
  <w:style w:type="character" w:styleId="ListLabel141">
    <w:name w:val="ListLabel 141"/>
    <w:qFormat/>
    <w:rPr>
      <w:rFonts w:eastAsia="OpenSymbol" w:cs="OpenSymbol"/>
    </w:rPr>
  </w:style>
  <w:style w:type="character" w:styleId="ListLabel142">
    <w:name w:val="ListLabel 142"/>
    <w:qFormat/>
    <w:rPr>
      <w:rFonts w:eastAsia="OpenSymbol" w:cs="OpenSymbol"/>
    </w:rPr>
  </w:style>
  <w:style w:type="character" w:styleId="ListLabel143">
    <w:name w:val="ListLabel 143"/>
    <w:qFormat/>
    <w:rPr>
      <w:rFonts w:eastAsia="OpenSymbol" w:cs="OpenSymbol"/>
    </w:rPr>
  </w:style>
  <w:style w:type="character" w:styleId="ListLabel144">
    <w:name w:val="ListLabel 144"/>
    <w:qFormat/>
    <w:rPr>
      <w:rFonts w:eastAsia="OpenSymbol" w:cs="OpenSymbol"/>
    </w:rPr>
  </w:style>
  <w:style w:type="character" w:styleId="ListLabel145">
    <w:name w:val="ListLabel 145"/>
    <w:qFormat/>
    <w:rPr>
      <w:rFonts w:eastAsia="OpenSymbol" w:cs="OpenSymbol"/>
    </w:rPr>
  </w:style>
  <w:style w:type="character" w:styleId="ListLabel146">
    <w:name w:val="ListLabel 146"/>
    <w:qFormat/>
    <w:rPr>
      <w:rFonts w:eastAsia="OpenSymbol" w:cs="OpenSymbol"/>
    </w:rPr>
  </w:style>
  <w:style w:type="character" w:styleId="ListLabel147">
    <w:name w:val="ListLabel 147"/>
    <w:qFormat/>
    <w:rPr>
      <w:rFonts w:eastAsia="OpenSymbol" w:cs="OpenSymbol"/>
    </w:rPr>
  </w:style>
  <w:style w:type="character" w:styleId="ListLabel148">
    <w:name w:val="ListLabel 148"/>
    <w:qFormat/>
    <w:rPr>
      <w:rFonts w:eastAsia="OpenSymbol" w:cs="OpenSymbol"/>
    </w:rPr>
  </w:style>
  <w:style w:type="character" w:styleId="ListLabel149">
    <w:name w:val="ListLabel 149"/>
    <w:qFormat/>
    <w:rPr>
      <w:rFonts w:eastAsia="OpenSymbol" w:cs="OpenSymbol"/>
    </w:rPr>
  </w:style>
  <w:style w:type="character" w:styleId="ListLabel150">
    <w:name w:val="ListLabel 150"/>
    <w:qFormat/>
    <w:rPr>
      <w:rFonts w:eastAsia="OpenSymbol" w:cs="OpenSymbol"/>
    </w:rPr>
  </w:style>
  <w:style w:type="character" w:styleId="ListLabel151">
    <w:name w:val="ListLabel 151"/>
    <w:qFormat/>
    <w:rPr>
      <w:rFonts w:eastAsia="OpenSymbol" w:cs="OpenSymbol"/>
    </w:rPr>
  </w:style>
  <w:style w:type="character" w:styleId="ListLabel152">
    <w:name w:val="ListLabel 152"/>
    <w:qFormat/>
    <w:rPr>
      <w:rFonts w:eastAsia="OpenSymbol" w:cs="OpenSymbol"/>
    </w:rPr>
  </w:style>
  <w:style w:type="character" w:styleId="ListLabel153">
    <w:name w:val="ListLabel 153"/>
    <w:qFormat/>
    <w:rPr>
      <w:rFonts w:eastAsia="OpenSymbol" w:cs="OpenSymbol"/>
    </w:rPr>
  </w:style>
  <w:style w:type="character" w:styleId="ListLabel154">
    <w:name w:val="ListLabel 154"/>
    <w:qFormat/>
    <w:rPr>
      <w:rFonts w:eastAsia="OpenSymbol" w:cs="OpenSymbol"/>
    </w:rPr>
  </w:style>
  <w:style w:type="character" w:styleId="ListLabel155">
    <w:name w:val="ListLabel 155"/>
    <w:qFormat/>
    <w:rPr>
      <w:rFonts w:eastAsia="OpenSymbol" w:cs="OpenSymbol"/>
    </w:rPr>
  </w:style>
  <w:style w:type="character" w:styleId="ListLabel156">
    <w:name w:val="ListLabel 156"/>
    <w:qFormat/>
    <w:rPr>
      <w:rFonts w:eastAsia="OpenSymbol" w:cs="OpenSymbol"/>
    </w:rPr>
  </w:style>
  <w:style w:type="character" w:styleId="ListLabel157">
    <w:name w:val="ListLabel 157"/>
    <w:qFormat/>
    <w:rPr>
      <w:rFonts w:eastAsia="OpenSymbol" w:cs="OpenSymbol"/>
    </w:rPr>
  </w:style>
  <w:style w:type="character" w:styleId="ListLabel158">
    <w:name w:val="ListLabel 158"/>
    <w:qFormat/>
    <w:rPr>
      <w:rFonts w:eastAsia="OpenSymbol" w:cs="OpenSymbol"/>
    </w:rPr>
  </w:style>
  <w:style w:type="character" w:styleId="ListLabel159">
    <w:name w:val="ListLabel 159"/>
    <w:qFormat/>
    <w:rPr>
      <w:rFonts w:eastAsia="OpenSymbol" w:cs="OpenSymbol"/>
    </w:rPr>
  </w:style>
  <w:style w:type="character" w:styleId="ListLabel160">
    <w:name w:val="ListLabel 160"/>
    <w:qFormat/>
    <w:rPr>
      <w:rFonts w:eastAsia="OpenSymbol" w:cs="OpenSymbol"/>
    </w:rPr>
  </w:style>
  <w:style w:type="character" w:styleId="ListLabel161">
    <w:name w:val="ListLabel 161"/>
    <w:qFormat/>
    <w:rPr>
      <w:rFonts w:eastAsia="OpenSymbol" w:cs="OpenSymbol"/>
    </w:rPr>
  </w:style>
  <w:style w:type="character" w:styleId="ListLabel162">
    <w:name w:val="ListLabel 162"/>
    <w:qFormat/>
    <w:rPr>
      <w:rFonts w:eastAsia="OpenSymbol" w:cs="OpenSymbol"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 Regular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AR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Cabecera">
    <w:name w:val="Header"/>
    <w:basedOn w:val="Standard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wmf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Application>LibreOffice/6.2.3.2$Linux_X86_64 LibreOffice_project/20$Build-2</Application>
  <Pages>6</Pages>
  <Words>1302</Words>
  <Characters>7116</Characters>
  <CharactersWithSpaces>8397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2019-05-01T22:50:00Z</dcterms:created>
  <dc:creator>Francisco Costantini</dc:creator>
  <dc:description/>
  <dc:language>es-AR</dc:language>
  <cp:lastModifiedBy/>
  <dcterms:modified xsi:type="dcterms:W3CDTF">2019-05-07T15:18:31Z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