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Epigrafía andalusí, cerámica medieval y consumo alimentario en al-Andalus</w:t>
      </w:r>
    </w:p>
    <w:p>
      <w:r>
        <w:rPr>
          <w:b/>
        </w:rPr>
        <w:t>Análisis de las imágenes adjuntas, mapa bibliométrico y síntesis histórico-arqueológica</w:t>
      </w:r>
    </w:p>
    <w:p>
      <w:r>
        <w:t>Informe de investigación · 14 de octubre de 2026 · Redactado en español; las ecuaciones de búsqueda se mantienen en inglés/español/francés.</w:t>
      </w:r>
    </w:p>
    <w:p>
      <w:pPr>
        <w:pStyle w:val="Heading2"/>
      </w:pPr>
      <w:r>
        <w:t>0. Qué son las imágenes y qué alcance tiene este informe</w:t>
      </w:r>
    </w:p>
    <w:p>
      <w:r>
        <w:t>Antes de entrar en materia conviene fijar tres límites, porque condicionan cómo debe leerse todo lo demás.</w:t>
      </w:r>
    </w:p>
    <w:p>
      <w:pPr>
        <w:ind w:left="510" w:hanging="340"/>
      </w:pPr>
      <w:r>
        <w:t xml:space="preserve">1. </w:t>
      </w:r>
      <w:r>
        <w:rPr>
          <w:b/>
        </w:rPr>
        <w:t>Las 16 imágenes no son fotografías de vasijas, sino de páginas de un artículo científico.</w:t>
      </w:r>
      <w:r>
        <w:t xml:space="preserve"> Se trata de </w:t>
      </w:r>
      <w:r>
        <w:rPr>
          <w:i/>
        </w:rPr>
        <w:t>Pau Armengol y Carmen Barceló, «Cerámica andalusí del siglo XI de la serie «¡Come!». Epigrafía y recetas», Boletín de Arqueología Medieval 22 (2024)</w:t>
      </w:r>
      <w:r>
        <w:t>. El número 22 (2024) del Boletín figura en el índice de la AEAM con este artículo. Mi «análisis visual» (Fase 1) es, por tanto, un análisis de las láminas y figuras publicadas y del texto que las acompaña. Las lecturas epigráficas son las de los autores. Las láminas llevan además un rótulo árabe impreso y las figuras 1–4 son restituciones dibujadas por C. Barceló. No he podido contrastar grafía a grafía esos rótulos a la resolución de las fotografías, así que no los reproduzco en árabe. No puedo leer de forma independiente el cúfico foliado de fragmentos fotografiados desde una página impresa, y no lo afirmo.</w:t>
      </w:r>
    </w:p>
    <w:p>
      <w:pPr>
        <w:ind w:left="510" w:hanging="340"/>
      </w:pPr>
      <w:r>
        <w:t xml:space="preserve">2. </w:t>
      </w:r>
      <w:r>
        <w:rPr>
          <w:b/>
        </w:rPr>
        <w:t>La bibliometría (Fase 2) se ejecutó en OpenAlex, no en WoS, Scopus, Dialnet ni en las bases del CSIC.</w:t>
      </w:r>
      <w:r>
        <w:t xml:space="preserve"> No tengo acceso a esas plataformas desde aquí. Las ecuaciones para ellas se entregan formuladas pero </w:t>
      </w:r>
      <w:r>
        <w:rPr>
          <w:b/>
        </w:rPr>
        <w:t>sin ejecutar</w:t>
      </w:r>
      <w:r>
        <w:t xml:space="preserve"> (sección 2.2); habrá que validar su sintaxis y los recuentos en cada interfaz. OpenAlex cubre mal la literatura arqueológica en español: el artículo de las imágenes no está indexado por título en OpenAlex, y el hecho es en sí mismo un resultado (sección 2.5).</w:t>
      </w:r>
    </w:p>
    <w:p>
      <w:pPr>
        <w:ind w:left="510" w:hanging="340"/>
      </w:pPr>
      <w:r>
        <w:t xml:space="preserve">3. </w:t>
      </w:r>
      <w:r>
        <w:rPr>
          <w:b/>
        </w:rPr>
        <w:t>Los datos de la Fase 3</w:t>
      </w:r>
      <w:r>
        <w:t xml:space="preserve"> proceden casi en su totalidad del propio artículo. Cuando añado algo que no está en él, lo marco como </w:t>
      </w:r>
      <w:r>
        <w:rPr>
          <w:i/>
        </w:rPr>
        <w:t>(contexto, a verificar)</w:t>
      </w:r>
      <w:r>
        <w:t>.</w:t>
      </w:r>
    </w:p>
    <w:p>
      <w:r>
        <w:t xml:space="preserve">Dos datos de contexto que aparecen en las fuentes consultadas: el propio número 22 del Boletín incluye una necrológica de Guillem Rosselló-Bordoy, y Carmen Barceló figura con fechas 1949–2024 en las reseñas necrológicas indexadas en OpenAlex (Al-Qanṭara y </w:t>
      </w:r>
      <w:r>
        <w:rPr>
          <w:i/>
        </w:rPr>
        <w:t>Estudis romànics</w:t>
      </w:r>
      <w:r>
        <w:t>). El artículo es, por tanto, una de las últimas contribuciones de una autora central en este campo.</w:t>
      </w:r>
    </w:p>
    <w:p>
      <w:pPr>
        <w:pStyle w:val="Heading3"/>
      </w:pPr>
      <w:r>
        <w:t>Resultados principales</w:t>
      </w:r>
    </w:p>
    <w:p>
      <w:pPr>
        <w:pStyle w:val="ListBullet"/>
      </w:pPr>
      <w:r>
        <w:t xml:space="preserve">La serie «¡Come!» reúne </w:t>
      </w:r>
      <w:r>
        <w:rPr>
          <w:b/>
        </w:rPr>
        <w:t>40 ejemplares</w:t>
      </w:r>
      <w:r>
        <w:t xml:space="preserve"> de zafas del siglo XI con el imperativo árabe </w:t>
      </w:r>
      <w:r>
        <w:rPr>
          <w:i/>
        </w:rPr>
        <w:t>kul</w:t>
      </w:r>
      <w:r>
        <w:t xml:space="preserve"> («¡come!») en el centro del fondo interior, seguido de otra palabra. En </w:t>
      </w:r>
      <w:r>
        <w:rPr>
          <w:b/>
        </w:rPr>
        <w:t>cuatro grupos</w:t>
      </w:r>
      <w:r>
        <w:t xml:space="preserve"> esa palabra es el nombre de un guiso: </w:t>
      </w:r>
      <w:r>
        <w:rPr>
          <w:i/>
        </w:rPr>
        <w:t>baqliyya</w:t>
      </w:r>
      <w:r>
        <w:t xml:space="preserve">, </w:t>
      </w:r>
      <w:r>
        <w:rPr>
          <w:i/>
        </w:rPr>
        <w:t>qarʿiyya</w:t>
      </w:r>
      <w:r>
        <w:t xml:space="preserve">, </w:t>
      </w:r>
      <w:r>
        <w:rPr>
          <w:i/>
        </w:rPr>
        <w:t>ŷulaydiyya</w:t>
      </w:r>
      <w:r>
        <w:t xml:space="preserve"> y </w:t>
      </w:r>
      <w:r>
        <w:rPr>
          <w:i/>
        </w:rPr>
        <w:t>gassāniyya</w:t>
      </w:r>
      <w:r>
        <w:t>.</w:t>
      </w:r>
    </w:p>
    <w:p>
      <w:pPr>
        <w:pStyle w:val="ListBullet"/>
      </w:pPr>
      <w:r>
        <w:t xml:space="preserve">La inscripción </w:t>
      </w:r>
      <w:r>
        <w:rPr>
          <w:b/>
        </w:rPr>
        <w:t>no es una fórmula propiciatoria</w:t>
      </w:r>
      <w:r>
        <w:t xml:space="preserve"> del tipo </w:t>
      </w:r>
      <w:r>
        <w:rPr>
          <w:i/>
        </w:rPr>
        <w:t>al-mulk</w:t>
      </w:r>
      <w:r>
        <w:t xml:space="preserve">, </w:t>
      </w:r>
      <w:r>
        <w:rPr>
          <w:i/>
        </w:rPr>
        <w:t>baraka</w:t>
      </w:r>
      <w:r>
        <w:t xml:space="preserve">, </w:t>
      </w:r>
      <w:r>
        <w:rPr>
          <w:i/>
        </w:rPr>
        <w:t>yumn</w:t>
      </w:r>
      <w:r>
        <w:t xml:space="preserve"> o </w:t>
      </w:r>
      <w:r>
        <w:rPr>
          <w:i/>
        </w:rPr>
        <w:t>ʿāfiya</w:t>
      </w:r>
      <w:r>
        <w:t xml:space="preserve">. Es una </w:t>
      </w:r>
      <w:r>
        <w:rPr>
          <w:b/>
        </w:rPr>
        <w:t>invitación a comer que nombra el plato</w:t>
      </w:r>
      <w:r>
        <w:t>. Los autores la interpretan como destinada a banquetes y a un grupo arabófono y letrado con prestigio social.</w:t>
      </w:r>
    </w:p>
    <w:p>
      <w:pPr>
        <w:pStyle w:val="ListBullet"/>
      </w:pPr>
      <w:r>
        <w:t xml:space="preserve">El cruce </w:t>
      </w:r>
      <w:r>
        <w:rPr>
          <w:b/>
        </w:rPr>
        <w:t>epigrafía × cerámica × alimentación</w:t>
      </w:r>
      <w:r>
        <w:t xml:space="preserve"> es casi inexistente en la literatura indexada. En el corpus de OpenAlex (1.263 registros de al-Andalus tras el cribado) hay </w:t>
      </w:r>
      <w:r>
        <w:rPr>
          <w:b/>
        </w:rPr>
        <w:t>19</w:t>
      </w:r>
      <w:r>
        <w:t xml:space="preserve"> registros que combinan epigrafía y cerámica (una decena son estudios genuinos de cerámica con epígrafes), </w:t>
      </w:r>
      <w:r>
        <w:rPr>
          <w:b/>
        </w:rPr>
        <w:t>2</w:t>
      </w:r>
      <w:r>
        <w:t xml:space="preserve"> que combinan epigrafía y alimentación (ninguno sobre vajilla) y </w:t>
      </w:r>
      <w:r>
        <w:rPr>
          <w:b/>
        </w:rPr>
        <w:t>0</w:t>
      </w:r>
      <w:r>
        <w:t xml:space="preserve"> que combinan los tres temas. Ese cero es en parte un artefacto de cobertura, porque el artículo de las imágenes sí es la excepción y no está indexado.</w:t>
      </w:r>
    </w:p>
    <w:p>
      <w:pPr>
        <w:pStyle w:val="ListBullet"/>
      </w:pPr>
      <w:r>
        <w:t xml:space="preserve">No he encontrado ningún análisis de residuos orgánicos (ORA) sobre vajilla epigráfica andalusí. Los estudios de ORA en contexto islámico medieval que aparecen son de Sicilia (Lundy </w:t>
      </w:r>
      <w:r>
        <w:rPr>
          <w:i/>
        </w:rPr>
        <w:t>et al.</w:t>
      </w:r>
      <w:r>
        <w:t xml:space="preserve"> 2021, 2023). Sí hay dos análisis puntuales de contenidos en material andalusí no epigráfico (sección 2.8).</w:t>
      </w:r>
    </w:p>
    <w:p>
      <w:pPr>
        <w:pStyle w:val="Heading2"/>
      </w:pPr>
      <w:r>
        <w:t>1. Fase 1 · Análisis tipológico, técnico y epigráfico (a partir de las páginas fotografiadas)</w:t>
      </w:r>
    </w:p>
    <w:p>
      <w:pPr>
        <w:pStyle w:val="Heading3"/>
      </w:pPr>
      <w:r>
        <w:t>1.1 Inventario de las imágenes</w:t>
      </w:r>
    </w:p>
    <w:p>
      <w:r>
        <w:t>Las dieciséis fotografías cubren de forma correlativa el artículo completo (pp. 26–56) y la primera página del siguiente. Las páginas marcadas con * las deduzco de la paginación visible en las contiguas.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Img.</w:t>
            </w:r>
          </w:p>
        </w:tc>
        <w:tc>
          <w:tcPr>
            <w:tcW w:type="dxa" w:w="3324"/>
            <w:shd w:val="clear" w:color="auto" w:fill="D9E2F3"/>
          </w:tcPr>
          <w:p>
            <w:r>
              <w:rPr>
                <w:b/>
              </w:rPr>
            </w:r>
            <w:r>
              <w:rPr>
                <w:b/>
                <w:sz w:val="17"/>
              </w:rPr>
              <w:t>Contenido</w:t>
            </w:r>
          </w:p>
        </w:tc>
        <w:tc>
          <w:tcPr>
            <w:tcW w:type="dxa" w:w="3324"/>
            <w:shd w:val="clear" w:color="auto" w:fill="D9E2F3"/>
          </w:tcPr>
          <w:p>
            <w:r>
              <w:rPr>
                <w:b/>
              </w:rPr>
            </w:r>
            <w:r>
              <w:rPr>
                <w:b/>
                <w:sz w:val="17"/>
              </w:rPr>
              <w:t>Págs.</w:t>
            </w:r>
          </w:p>
        </w:tc>
      </w:tr>
      <w:tr>
        <w:tc>
          <w:tcPr>
            <w:tcW w:type="dxa" w:w="3324"/>
          </w:tcPr>
          <w:p>
            <w:r/>
            <w:r>
              <w:rPr>
                <w:sz w:val="17"/>
              </w:rPr>
              <w:t>01</w:t>
            </w:r>
          </w:p>
        </w:tc>
        <w:tc>
          <w:tcPr>
            <w:tcW w:type="dxa" w:w="3324"/>
          </w:tcPr>
          <w:p>
            <w:r/>
            <w:r>
              <w:rPr>
                <w:sz w:val="17"/>
              </w:rPr>
              <w:t xml:space="preserve">Portada del artículo: título, autores, cita coránica 2, 168, resumen y </w:t>
            </w:r>
            <w:r>
              <w:rPr>
                <w:i/>
                <w:sz w:val="17"/>
              </w:rPr>
              <w:t>summary</w:t>
            </w:r>
            <w:r>
              <w:rPr>
                <w:sz w:val="17"/>
              </w:rPr>
              <w:t>, palabras clave</w:t>
            </w:r>
          </w:p>
        </w:tc>
        <w:tc>
          <w:tcPr>
            <w:tcW w:type="dxa" w:w="3324"/>
          </w:tcPr>
          <w:p>
            <w:r/>
            <w:r>
              <w:rPr>
                <w:sz w:val="17"/>
              </w:rPr>
              <w:t>26–27*</w:t>
            </w:r>
          </w:p>
        </w:tc>
      </w:tr>
      <w:tr>
        <w:tc>
          <w:tcPr>
            <w:tcW w:type="dxa" w:w="3324"/>
          </w:tcPr>
          <w:p>
            <w:r/>
            <w:r>
              <w:rPr>
                <w:sz w:val="17"/>
              </w:rPr>
              <w:t>02</w:t>
            </w:r>
          </w:p>
        </w:tc>
        <w:tc>
          <w:tcPr>
            <w:tcW w:type="dxa" w:w="3324"/>
          </w:tcPr>
          <w:p>
            <w:r/>
            <w:r>
              <w:rPr>
                <w:sz w:val="17"/>
              </w:rPr>
              <w:t>«Los epígrafes de la serie ¡Come!. Aproximaciones anteriores»; «Los nuevos hallazgos y su contexto arqueológico»; nota 1 (siglas y transcripción)</w:t>
            </w:r>
          </w:p>
        </w:tc>
        <w:tc>
          <w:tcPr>
            <w:tcW w:type="dxa" w:w="3324"/>
          </w:tcPr>
          <w:p>
            <w:r/>
            <w:r>
              <w:rPr>
                <w:sz w:val="17"/>
              </w:rPr>
              <w:t>28–29</w:t>
            </w:r>
          </w:p>
        </w:tc>
      </w:tr>
      <w:tr>
        <w:tc>
          <w:tcPr>
            <w:tcW w:type="dxa" w:w="3324"/>
          </w:tcPr>
          <w:p>
            <w:r/>
            <w:r>
              <w:rPr>
                <w:sz w:val="17"/>
              </w:rPr>
              <w:t>03</w:t>
            </w:r>
          </w:p>
        </w:tc>
        <w:tc>
          <w:tcPr>
            <w:tcW w:type="dxa" w:w="3324"/>
          </w:tcPr>
          <w:p>
            <w:r/>
            <w:r>
              <w:rPr>
                <w:sz w:val="17"/>
              </w:rPr>
              <w:t>Metodología arqueológica, dimensiones y capacidad de las piezas; «En busca de otro tipo de voces en nuevas fuentes»</w:t>
            </w:r>
          </w:p>
        </w:tc>
        <w:tc>
          <w:tcPr>
            <w:tcW w:type="dxa" w:w="3324"/>
          </w:tcPr>
          <w:p>
            <w:r/>
            <w:r>
              <w:rPr>
                <w:sz w:val="17"/>
              </w:rPr>
              <w:t>30–31*</w:t>
            </w:r>
          </w:p>
        </w:tc>
      </w:tr>
      <w:tr>
        <w:tc>
          <w:tcPr>
            <w:tcW w:type="dxa" w:w="3324"/>
          </w:tcPr>
          <w:p>
            <w:r/>
            <w:r>
              <w:rPr>
                <w:sz w:val="17"/>
              </w:rPr>
              <w:t>04</w:t>
            </w:r>
          </w:p>
        </w:tc>
        <w:tc>
          <w:tcPr>
            <w:tcW w:type="dxa" w:w="3324"/>
          </w:tcPr>
          <w:p>
            <w:r/>
            <w:r>
              <w:rPr>
                <w:sz w:val="17"/>
              </w:rPr>
              <w:t>Nombres de guisos en las fuentes culinarias; festividades y banquetes en al-Andalus</w:t>
            </w:r>
          </w:p>
        </w:tc>
        <w:tc>
          <w:tcPr>
            <w:tcW w:type="dxa" w:w="3324"/>
          </w:tcPr>
          <w:p>
            <w:r/>
            <w:r>
              <w:rPr>
                <w:sz w:val="17"/>
              </w:rPr>
              <w:t>32–33*</w:t>
            </w:r>
          </w:p>
        </w:tc>
      </w:tr>
      <w:tr>
        <w:tc>
          <w:tcPr>
            <w:tcW w:type="dxa" w:w="3324"/>
          </w:tcPr>
          <w:p>
            <w:r/>
            <w:r>
              <w:rPr>
                <w:sz w:val="17"/>
              </w:rPr>
              <w:t>05</w:t>
            </w:r>
          </w:p>
        </w:tc>
        <w:tc>
          <w:tcPr>
            <w:tcW w:type="dxa" w:w="3324"/>
          </w:tcPr>
          <w:p>
            <w:r/>
            <w:r>
              <w:rPr>
                <w:i/>
                <w:sz w:val="17"/>
              </w:rPr>
              <w:t>Baqliyya</w:t>
            </w:r>
            <w:r>
              <w:rPr>
                <w:sz w:val="17"/>
              </w:rPr>
              <w:t>: Fig. 1 (restitución) y Lám. I</w:t>
            </w:r>
          </w:p>
        </w:tc>
        <w:tc>
          <w:tcPr>
            <w:tcW w:type="dxa" w:w="3324"/>
          </w:tcPr>
          <w:p>
            <w:r/>
            <w:r>
              <w:rPr>
                <w:sz w:val="17"/>
              </w:rPr>
              <w:t>34–35</w:t>
            </w:r>
          </w:p>
        </w:tc>
      </w:tr>
      <w:tr>
        <w:tc>
          <w:tcPr>
            <w:tcW w:type="dxa" w:w="3324"/>
          </w:tcPr>
          <w:p>
            <w:r/>
            <w:r>
              <w:rPr>
                <w:sz w:val="17"/>
              </w:rPr>
              <w:t>06</w:t>
            </w:r>
          </w:p>
        </w:tc>
        <w:tc>
          <w:tcPr>
            <w:tcW w:type="dxa" w:w="3324"/>
          </w:tcPr>
          <w:p>
            <w:r/>
            <w:r>
              <w:rPr>
                <w:i/>
                <w:sz w:val="17"/>
              </w:rPr>
              <w:t>Qarʿiyya</w:t>
            </w:r>
            <w:r>
              <w:rPr>
                <w:sz w:val="17"/>
              </w:rPr>
              <w:t>: Fig. 2 y Lám. II</w:t>
            </w:r>
          </w:p>
        </w:tc>
        <w:tc>
          <w:tcPr>
            <w:tcW w:type="dxa" w:w="3324"/>
          </w:tcPr>
          <w:p>
            <w:r/>
            <w:r>
              <w:rPr>
                <w:sz w:val="17"/>
              </w:rPr>
              <w:t>36–37*</w:t>
            </w:r>
          </w:p>
        </w:tc>
      </w:tr>
      <w:tr>
        <w:tc>
          <w:tcPr>
            <w:tcW w:type="dxa" w:w="3324"/>
          </w:tcPr>
          <w:p>
            <w:r/>
            <w:r>
              <w:rPr>
                <w:sz w:val="17"/>
              </w:rPr>
              <w:t>07</w:t>
            </w:r>
          </w:p>
        </w:tc>
        <w:tc>
          <w:tcPr>
            <w:tcW w:type="dxa" w:w="3324"/>
          </w:tcPr>
          <w:p>
            <w:r/>
            <w:r>
              <w:rPr>
                <w:i/>
                <w:sz w:val="17"/>
              </w:rPr>
              <w:t>Ŷulaydiyya</w:t>
            </w:r>
            <w:r>
              <w:rPr>
                <w:sz w:val="17"/>
              </w:rPr>
              <w:t>: Fig. 3 y Lám. III</w:t>
            </w:r>
          </w:p>
        </w:tc>
        <w:tc>
          <w:tcPr>
            <w:tcW w:type="dxa" w:w="3324"/>
          </w:tcPr>
          <w:p>
            <w:r/>
            <w:r>
              <w:rPr>
                <w:sz w:val="17"/>
              </w:rPr>
              <w:t>38–39</w:t>
            </w:r>
          </w:p>
        </w:tc>
      </w:tr>
      <w:tr>
        <w:tc>
          <w:tcPr>
            <w:tcW w:type="dxa" w:w="3324"/>
          </w:tcPr>
          <w:p>
            <w:r/>
            <w:r>
              <w:rPr>
                <w:sz w:val="17"/>
              </w:rPr>
              <w:t>08</w:t>
            </w:r>
          </w:p>
        </w:tc>
        <w:tc>
          <w:tcPr>
            <w:tcW w:type="dxa" w:w="3324"/>
          </w:tcPr>
          <w:p>
            <w:r/>
            <w:r>
              <w:rPr>
                <w:i/>
                <w:sz w:val="17"/>
              </w:rPr>
              <w:t>Gassāniyya</w:t>
            </w:r>
            <w:r>
              <w:rPr>
                <w:sz w:val="17"/>
              </w:rPr>
              <w:t>: Fig. 4 y Lám. IV</w:t>
            </w:r>
          </w:p>
        </w:tc>
        <w:tc>
          <w:tcPr>
            <w:tcW w:type="dxa" w:w="3324"/>
          </w:tcPr>
          <w:p>
            <w:r/>
            <w:r>
              <w:rPr>
                <w:sz w:val="17"/>
              </w:rPr>
              <w:t>40–41*</w:t>
            </w:r>
          </w:p>
        </w:tc>
      </w:tr>
      <w:tr>
        <w:tc>
          <w:tcPr>
            <w:tcW w:type="dxa" w:w="3324"/>
          </w:tcPr>
          <w:p>
            <w:r/>
            <w:r>
              <w:rPr>
                <w:sz w:val="17"/>
              </w:rPr>
              <w:t>09</w:t>
            </w:r>
          </w:p>
        </w:tc>
        <w:tc>
          <w:tcPr>
            <w:tcW w:type="dxa" w:w="3324"/>
          </w:tcPr>
          <w:p>
            <w:r/>
            <w:r>
              <w:rPr>
                <w:sz w:val="17"/>
              </w:rPr>
              <w:t>«Otros fragmentos con posible nombre de manjar», Lám. V</w:t>
            </w:r>
          </w:p>
        </w:tc>
        <w:tc>
          <w:tcPr>
            <w:tcW w:type="dxa" w:w="3324"/>
          </w:tcPr>
          <w:p>
            <w:r/>
            <w:r>
              <w:rPr>
                <w:sz w:val="17"/>
              </w:rPr>
              <w:t>42–43*</w:t>
            </w:r>
          </w:p>
        </w:tc>
      </w:tr>
      <w:tr>
        <w:tc>
          <w:tcPr>
            <w:tcW w:type="dxa" w:w="3324"/>
          </w:tcPr>
          <w:p>
            <w:r/>
            <w:r>
              <w:rPr>
                <w:sz w:val="17"/>
              </w:rPr>
              <w:t>10</w:t>
            </w:r>
          </w:p>
        </w:tc>
        <w:tc>
          <w:tcPr>
            <w:tcW w:type="dxa" w:w="3324"/>
          </w:tcPr>
          <w:p>
            <w:r/>
            <w:r>
              <w:rPr>
                <w:sz w:val="17"/>
              </w:rPr>
              <w:t>«El nombre del recipiente para el servicio de mesa»; «Análisis epigráfico. El cúfico de la taifa valenciana»; Fig. 5 (alfabeto de grafías)</w:t>
            </w:r>
          </w:p>
        </w:tc>
        <w:tc>
          <w:tcPr>
            <w:tcW w:type="dxa" w:w="3324"/>
          </w:tcPr>
          <w:p>
            <w:r/>
            <w:r>
              <w:rPr>
                <w:sz w:val="17"/>
              </w:rPr>
              <w:t>44–45</w:t>
            </w:r>
          </w:p>
        </w:tc>
      </w:tr>
      <w:tr>
        <w:tc>
          <w:tcPr>
            <w:tcW w:type="dxa" w:w="3324"/>
          </w:tcPr>
          <w:p>
            <w:r/>
            <w:r>
              <w:rPr>
                <w:sz w:val="17"/>
              </w:rPr>
              <w:t>11</w:t>
            </w:r>
          </w:p>
        </w:tc>
        <w:tc>
          <w:tcPr>
            <w:tcW w:type="dxa" w:w="3324"/>
          </w:tcPr>
          <w:p>
            <w:r/>
            <w:r>
              <w:rPr>
                <w:sz w:val="17"/>
              </w:rPr>
              <w:t>Estilo caligráfico; Figs. 6A y 6B (alfabetos sobre piedra: Xàtiva 429/1038 y València 453/1061)</w:t>
            </w:r>
          </w:p>
        </w:tc>
        <w:tc>
          <w:tcPr>
            <w:tcW w:type="dxa" w:w="3324"/>
          </w:tcPr>
          <w:p>
            <w:r/>
            <w:r>
              <w:rPr>
                <w:sz w:val="17"/>
              </w:rPr>
              <w:t>46–47</w:t>
            </w:r>
          </w:p>
        </w:tc>
      </w:tr>
      <w:tr>
        <w:tc>
          <w:tcPr>
            <w:tcW w:type="dxa" w:w="3324"/>
          </w:tcPr>
          <w:p>
            <w:r/>
            <w:r>
              <w:rPr>
                <w:sz w:val="17"/>
              </w:rPr>
              <w:t>12</w:t>
            </w:r>
          </w:p>
        </w:tc>
        <w:tc>
          <w:tcPr>
            <w:tcW w:type="dxa" w:w="3324"/>
          </w:tcPr>
          <w:p>
            <w:r/>
            <w:r>
              <w:rPr>
                <w:sz w:val="17"/>
              </w:rPr>
              <w:t xml:space="preserve">Conclusión; inicio del Apéndice (recetario, 1.1 </w:t>
            </w:r>
            <w:r>
              <w:rPr>
                <w:i/>
                <w:sz w:val="17"/>
              </w:rPr>
              <w:t>baqliyya</w:t>
            </w:r>
            <w:r>
              <w:rPr>
                <w:sz w:val="17"/>
              </w:rPr>
              <w:t>)</w:t>
            </w:r>
          </w:p>
        </w:tc>
        <w:tc>
          <w:tcPr>
            <w:tcW w:type="dxa" w:w="3324"/>
          </w:tcPr>
          <w:p>
            <w:r/>
            <w:r>
              <w:rPr>
                <w:sz w:val="17"/>
              </w:rPr>
              <w:t>48–49*</w:t>
            </w:r>
          </w:p>
        </w:tc>
      </w:tr>
      <w:tr>
        <w:tc>
          <w:tcPr>
            <w:tcW w:type="dxa" w:w="3324"/>
          </w:tcPr>
          <w:p>
            <w:r/>
            <w:r>
              <w:rPr>
                <w:sz w:val="17"/>
              </w:rPr>
              <w:t>13</w:t>
            </w:r>
          </w:p>
        </w:tc>
        <w:tc>
          <w:tcPr>
            <w:tcW w:type="dxa" w:w="3324"/>
          </w:tcPr>
          <w:p>
            <w:r/>
            <w:r>
              <w:rPr>
                <w:sz w:val="17"/>
              </w:rPr>
              <w:t>Apéndice: recetas 1.2 a 4.1 (</w:t>
            </w:r>
            <w:r>
              <w:rPr>
                <w:i/>
                <w:sz w:val="17"/>
              </w:rPr>
              <w:t>baqliyya</w:t>
            </w:r>
            <w:r>
              <w:rPr>
                <w:sz w:val="17"/>
              </w:rPr>
              <w:t xml:space="preserve">, </w:t>
            </w:r>
            <w:r>
              <w:rPr>
                <w:i/>
                <w:sz w:val="17"/>
              </w:rPr>
              <w:t>qarʿiyya</w:t>
            </w:r>
            <w:r>
              <w:rPr>
                <w:sz w:val="17"/>
              </w:rPr>
              <w:t xml:space="preserve">, </w:t>
            </w:r>
            <w:r>
              <w:rPr>
                <w:i/>
                <w:sz w:val="17"/>
              </w:rPr>
              <w:t>ŷulaydiyya</w:t>
            </w:r>
            <w:r>
              <w:rPr>
                <w:sz w:val="17"/>
              </w:rPr>
              <w:t xml:space="preserve">, </w:t>
            </w:r>
            <w:r>
              <w:rPr>
                <w:i/>
                <w:sz w:val="17"/>
              </w:rPr>
              <w:t>gassāniyya</w:t>
            </w:r>
            <w:r>
              <w:rPr>
                <w:sz w:val="17"/>
              </w:rPr>
              <w:t>)</w:t>
            </w:r>
          </w:p>
        </w:tc>
        <w:tc>
          <w:tcPr>
            <w:tcW w:type="dxa" w:w="3324"/>
          </w:tcPr>
          <w:p>
            <w:r/>
            <w:r>
              <w:rPr>
                <w:sz w:val="17"/>
              </w:rPr>
              <w:t>50–51*</w:t>
            </w:r>
          </w:p>
        </w:tc>
      </w:tr>
      <w:tr>
        <w:tc>
          <w:tcPr>
            <w:tcW w:type="dxa" w:w="3324"/>
          </w:tcPr>
          <w:p>
            <w:r/>
            <w:r>
              <w:rPr>
                <w:sz w:val="17"/>
              </w:rPr>
              <w:t>14</w:t>
            </w:r>
          </w:p>
        </w:tc>
        <w:tc>
          <w:tcPr>
            <w:tcW w:type="dxa" w:w="3324"/>
          </w:tcPr>
          <w:p>
            <w:r/>
            <w:r>
              <w:rPr>
                <w:sz w:val="17"/>
              </w:rPr>
              <w:t>Apéndice: recetas 4.2 a 4.4; Agradecimientos; inicio de la Bibliografía</w:t>
            </w:r>
          </w:p>
        </w:tc>
        <w:tc>
          <w:tcPr>
            <w:tcW w:type="dxa" w:w="3324"/>
          </w:tcPr>
          <w:p>
            <w:r/>
            <w:r>
              <w:rPr>
                <w:sz w:val="17"/>
              </w:rPr>
              <w:t>52–53</w:t>
            </w:r>
          </w:p>
        </w:tc>
      </w:tr>
      <w:tr>
        <w:tc>
          <w:tcPr>
            <w:tcW w:type="dxa" w:w="3324"/>
          </w:tcPr>
          <w:p>
            <w:r/>
            <w:r>
              <w:rPr>
                <w:sz w:val="17"/>
              </w:rPr>
              <w:t>15</w:t>
            </w:r>
          </w:p>
        </w:tc>
        <w:tc>
          <w:tcPr>
            <w:tcW w:type="dxa" w:w="3324"/>
          </w:tcPr>
          <w:p>
            <w:r/>
            <w:r>
              <w:rPr>
                <w:sz w:val="17"/>
              </w:rPr>
              <w:t>Bibliografía</w:t>
            </w:r>
          </w:p>
        </w:tc>
        <w:tc>
          <w:tcPr>
            <w:tcW w:type="dxa" w:w="3324"/>
          </w:tcPr>
          <w:p>
            <w:r/>
            <w:r>
              <w:rPr>
                <w:sz w:val="17"/>
              </w:rPr>
              <w:t>54–55</w:t>
            </w:r>
          </w:p>
        </w:tc>
      </w:tr>
      <w:tr>
        <w:tc>
          <w:tcPr>
            <w:tcW w:type="dxa" w:w="3324"/>
          </w:tcPr>
          <w:p>
            <w:r/>
            <w:r>
              <w:rPr>
                <w:sz w:val="17"/>
              </w:rPr>
              <w:t>16</w:t>
            </w:r>
          </w:p>
        </w:tc>
        <w:tc>
          <w:tcPr>
            <w:tcW w:type="dxa" w:w="3324"/>
          </w:tcPr>
          <w:p>
            <w:r/>
            <w:r>
              <w:rPr>
                <w:sz w:val="17"/>
              </w:rPr>
              <w:t xml:space="preserve">Final de la bibliografía y comienzo de </w:t>
            </w:r>
            <w:r>
              <w:rPr>
                <w:b/>
                <w:sz w:val="17"/>
              </w:rPr>
              <w:t>otro artículo</w:t>
            </w:r>
            <w:r>
              <w:rPr>
                <w:sz w:val="17"/>
              </w:rPr>
              <w:t xml:space="preserve"> (Quero Domínguez, cementerios de al-Mariyya), ajeno a esta investigación</w:t>
            </w:r>
          </w:p>
        </w:tc>
        <w:tc>
          <w:tcPr>
            <w:tcW w:type="dxa" w:w="3324"/>
          </w:tcPr>
          <w:p>
            <w:r/>
            <w:r>
              <w:rPr>
                <w:sz w:val="17"/>
              </w:rPr>
              <w:t>56–57</w:t>
            </w:r>
          </w:p>
        </w:tc>
      </w:tr>
    </w:tbl>
    <w:p/>
    <w:p>
      <w:pPr>
        <w:pStyle w:val="Heading3"/>
      </w:pPr>
      <w:r>
        <w:t>1.2 Identificación tipológica y técnica de la serie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Rasgo</w:t>
            </w:r>
          </w:p>
        </w:tc>
        <w:tc>
          <w:tcPr>
            <w:tcW w:type="dxa" w:w="3324"/>
            <w:shd w:val="clear" w:color="auto" w:fill="D9E2F3"/>
          </w:tcPr>
          <w:p>
            <w:r>
              <w:rPr>
                <w:b/>
              </w:rPr>
            </w:r>
            <w:r>
              <w:rPr>
                <w:b/>
                <w:sz w:val="17"/>
              </w:rPr>
              <w:t>Lo que consta en el artículo y en las láminas</w:t>
            </w:r>
          </w:p>
        </w:tc>
        <w:tc>
          <w:tcPr>
            <w:tcW w:type="dxa" w:w="3324"/>
            <w:shd w:val="clear" w:color="auto" w:fill="D9E2F3"/>
          </w:tcPr>
          <w:p>
            <w:r>
              <w:rPr>
                <w:b/>
              </w:rPr>
            </w:r>
            <w:r>
              <w:rPr>
                <w:b/>
                <w:sz w:val="17"/>
              </w:rPr>
              <w:t>Observación</w:t>
            </w:r>
          </w:p>
        </w:tc>
      </w:tr>
      <w:tr>
        <w:tc>
          <w:tcPr>
            <w:tcW w:type="dxa" w:w="3324"/>
          </w:tcPr>
          <w:p>
            <w:r/>
            <w:r>
              <w:rPr>
                <w:b/>
                <w:sz w:val="17"/>
              </w:rPr>
              <w:t>Forma</w:t>
            </w:r>
          </w:p>
        </w:tc>
        <w:tc>
          <w:tcPr>
            <w:tcW w:type="dxa" w:w="3324"/>
          </w:tcPr>
          <w:p>
            <w:r/>
            <w:r>
              <w:rPr>
                <w:sz w:val="17"/>
              </w:rPr>
              <w:t>Zafas (</w:t>
            </w:r>
            <w:r>
              <w:rPr>
                <w:i/>
                <w:sz w:val="17"/>
              </w:rPr>
              <w:t>ṣaḥfa</w:t>
            </w:r>
            <w:r>
              <w:rPr>
                <w:sz w:val="17"/>
              </w:rPr>
              <w:t>) de base anular y perfil hemisférico o con ligera carena, siempre con borde engrosado al exterior</w:t>
            </w:r>
          </w:p>
        </w:tc>
        <w:tc>
          <w:tcPr>
            <w:tcW w:type="dxa" w:w="3324"/>
          </w:tcPr>
          <w:p>
            <w:r/>
            <w:r>
              <w:rPr>
                <w:sz w:val="17"/>
              </w:rPr>
              <w:t xml:space="preserve">Los autores </w:t>
            </w:r>
            <w:r>
              <w:rPr>
                <w:b/>
                <w:sz w:val="17"/>
              </w:rPr>
              <w:t>rechazan «ataifor»</w:t>
            </w:r>
            <w:r>
              <w:rPr>
                <w:sz w:val="17"/>
              </w:rPr>
              <w:t xml:space="preserve"> para este material. El término está documentado en castellano desde el siglo XV y designaba una mesa baja redonda con borde. Proponen </w:t>
            </w:r>
            <w:r>
              <w:rPr>
                <w:i/>
                <w:sz w:val="17"/>
              </w:rPr>
              <w:t>zafa</w:t>
            </w:r>
            <w:r>
              <w:rPr>
                <w:sz w:val="17"/>
              </w:rPr>
              <w:t>, que es el término de los recetarios andalusíes (Ibn Razīn, anónimo almohade)</w:t>
            </w:r>
          </w:p>
        </w:tc>
      </w:tr>
      <w:tr>
        <w:tc>
          <w:tcPr>
            <w:tcW w:type="dxa" w:w="3324"/>
          </w:tcPr>
          <w:p>
            <w:r/>
            <w:r>
              <w:rPr>
                <w:b/>
                <w:sz w:val="17"/>
              </w:rPr>
              <w:t>Tamaño</w:t>
            </w:r>
          </w:p>
        </w:tc>
        <w:tc>
          <w:tcPr>
            <w:tcW w:type="dxa" w:w="3324"/>
          </w:tcPr>
          <w:p>
            <w:r/>
            <w:r>
              <w:rPr>
                <w:sz w:val="17"/>
              </w:rPr>
              <w:t>Dos tallas, media y grande: Ø de boca 250–300 mm, altura 100–150 mm. Diámetros más frecuentes entre 254 y 275 mm, con un rango total de 254–380 mm. Un único ejemplar de talla pequeña, del que solo se conserva la base (n.º 2.4)</w:t>
            </w:r>
          </w:p>
        </w:tc>
        <w:tc>
          <w:tcPr>
            <w:tcW w:type="dxa" w:w="3324"/>
          </w:tcPr>
          <w:p>
            <w:r/>
            <w:r>
              <w:rPr>
                <w:sz w:val="17"/>
              </w:rPr>
              <w:t xml:space="preserve">Capacidad estimada de 2–3 kg de alimento, para 6–12 comensales. Los autores lo apoyan en Ibn Sīda, que equipara la </w:t>
            </w:r>
            <w:r>
              <w:rPr>
                <w:i/>
                <w:sz w:val="17"/>
              </w:rPr>
              <w:t>zafa</w:t>
            </w:r>
            <w:r>
              <w:rPr>
                <w:sz w:val="17"/>
              </w:rPr>
              <w:t xml:space="preserve"> a la fuente o escudilla para diez personas</w:t>
            </w:r>
          </w:p>
        </w:tc>
      </w:tr>
      <w:tr>
        <w:tc>
          <w:tcPr>
            <w:tcW w:type="dxa" w:w="3324"/>
          </w:tcPr>
          <w:p>
            <w:r/>
            <w:r>
              <w:rPr>
                <w:b/>
                <w:sz w:val="17"/>
              </w:rPr>
              <w:t>Pasta y vidriado</w:t>
            </w:r>
          </w:p>
        </w:tc>
        <w:tc>
          <w:tcPr>
            <w:tcW w:type="dxa" w:w="3324"/>
          </w:tcPr>
          <w:p>
            <w:r/>
            <w:r>
              <w:rPr>
                <w:sz w:val="17"/>
              </w:rPr>
              <w:t>Cara interior blanca. La exterior puede ser blanca o melada (color miel)</w:t>
            </w:r>
          </w:p>
        </w:tc>
        <w:tc>
          <w:tcPr>
            <w:tcW w:type="dxa" w:w="3324"/>
          </w:tcPr>
          <w:p>
            <w:r/>
            <w:r>
              <w:rPr>
                <w:sz w:val="17"/>
              </w:rPr>
              <w:t xml:space="preserve">El texto subraya que el barnizado interior </w:t>
            </w:r>
            <w:r>
              <w:rPr>
                <w:b/>
                <w:sz w:val="17"/>
              </w:rPr>
              <w:t>impedía la impregnación de grasa</w:t>
            </w:r>
            <w:r>
              <w:rPr>
                <w:sz w:val="17"/>
              </w:rPr>
              <w:t xml:space="preserve"> y permitía lavar y reutilizar las piezas. No se precisa en las páginas fotografiadas la naturaleza del vedrío</w:t>
            </w:r>
          </w:p>
        </w:tc>
      </w:tr>
      <w:tr>
        <w:tc>
          <w:tcPr>
            <w:tcW w:type="dxa" w:w="3324"/>
          </w:tcPr>
          <w:p>
            <w:r/>
            <w:r>
              <w:rPr>
                <w:b/>
                <w:sz w:val="17"/>
              </w:rPr>
              <w:t>Técnica decorativa</w:t>
            </w:r>
          </w:p>
        </w:tc>
        <w:tc>
          <w:tcPr>
            <w:tcW w:type="dxa" w:w="3324"/>
          </w:tcPr>
          <w:p>
            <w:r/>
            <w:r>
              <w:rPr>
                <w:sz w:val="17"/>
              </w:rPr>
              <w:t xml:space="preserve">Perfil de las letras en marrón más o menos oscuro («manganeso») y relleno interior en verde, con efecto de letrero en relieve. Es la técnica de </w:t>
            </w:r>
            <w:r>
              <w:rPr>
                <w:b/>
                <w:sz w:val="17"/>
              </w:rPr>
              <w:t>«verde y negro/manganeso sobre blanco»</w:t>
            </w:r>
            <w:r>
              <w:rPr>
                <w:sz w:val="17"/>
              </w:rPr>
              <w:t>, no cuerda seca ni loza dorada</w:t>
            </w:r>
          </w:p>
        </w:tc>
        <w:tc>
          <w:tcPr>
            <w:tcW w:type="dxa" w:w="3324"/>
          </w:tcPr>
          <w:p>
            <w:r/>
            <w:r>
              <w:rPr>
                <w:sz w:val="17"/>
              </w:rPr>
              <w:t>En la lámina V, el fragmento 5.2 (Albarracín) tiene aspecto visualmente distinto: superficie rojiza con trazos negros. Los autores no lo incluyen en las cuatro series</w:t>
            </w:r>
          </w:p>
        </w:tc>
      </w:tr>
      <w:tr>
        <w:tc>
          <w:tcPr>
            <w:tcW w:type="dxa" w:w="3324"/>
          </w:tcPr>
          <w:p>
            <w:r/>
            <w:r>
              <w:rPr>
                <w:b/>
                <w:sz w:val="17"/>
              </w:rPr>
              <w:t>Lugar de la epigrafía</w:t>
            </w:r>
          </w:p>
        </w:tc>
        <w:tc>
          <w:tcPr>
            <w:tcW w:type="dxa" w:w="3324"/>
          </w:tcPr>
          <w:p>
            <w:r/>
            <w:r>
              <w:rPr>
                <w:sz w:val="17"/>
              </w:rPr>
              <w:t>Centro del fondo interior, entre el cuenco y el borde</w:t>
            </w:r>
          </w:p>
        </w:tc>
        <w:tc>
          <w:tcPr>
            <w:tcW w:type="dxa" w:w="3324"/>
          </w:tcPr>
          <w:p>
            <w:r/>
            <w:r>
              <w:rPr>
                <w:sz w:val="17"/>
              </w:rPr>
              <w:t xml:space="preserve">El texto se lee en horizontal, con </w:t>
            </w:r>
            <w:r>
              <w:rPr>
                <w:i/>
                <w:sz w:val="17"/>
              </w:rPr>
              <w:t>kul</w:t>
            </w:r>
            <w:r>
              <w:rPr>
                <w:sz w:val="17"/>
              </w:rPr>
              <w:t xml:space="preserve"> a un lado y el nombre del guiso a continuación</w:t>
            </w:r>
          </w:p>
        </w:tc>
      </w:tr>
      <w:tr>
        <w:tc>
          <w:tcPr>
            <w:tcW w:type="dxa" w:w="3324"/>
          </w:tcPr>
          <w:p>
            <w:r/>
            <w:r>
              <w:rPr>
                <w:b/>
                <w:sz w:val="17"/>
              </w:rPr>
              <w:t>Ornatos</w:t>
            </w:r>
          </w:p>
        </w:tc>
        <w:tc>
          <w:tcPr>
            <w:tcW w:type="dxa" w:w="3324"/>
          </w:tcPr>
          <w:p>
            <w:r/>
            <w:r>
              <w:rPr>
                <w:sz w:val="17"/>
              </w:rPr>
              <w:t>Ovas, pequeños triángulos o círculos sobre o bajo la línea base, rellenos florales, flor de lis o brotes de dos o tres hojas</w:t>
            </w:r>
          </w:p>
        </w:tc>
        <w:tc>
          <w:tcPr>
            <w:tcW w:type="dxa" w:w="3324"/>
          </w:tcPr>
          <w:p>
            <w:r/>
            <w:r>
              <w:rPr>
                <w:sz w:val="17"/>
              </w:rPr>
              <w:t>Son rellenos de cartela. No se describen motivos seudoepigráficos propiamente dichos</w:t>
            </w:r>
          </w:p>
        </w:tc>
      </w:tr>
      <w:tr>
        <w:tc>
          <w:tcPr>
            <w:tcW w:type="dxa" w:w="3324"/>
          </w:tcPr>
          <w:p>
            <w:r/>
            <w:r>
              <w:rPr>
                <w:b/>
                <w:sz w:val="17"/>
              </w:rPr>
              <w:t>Cronología</w:t>
            </w:r>
          </w:p>
        </w:tc>
        <w:tc>
          <w:tcPr>
            <w:tcW w:type="dxa" w:w="3324"/>
          </w:tcPr>
          <w:p>
            <w:r/>
            <w:r>
              <w:rPr>
                <w:sz w:val="17"/>
              </w:rPr>
              <w:t>Taifa (siglo XI), sostenida por tipología, estratigrafía, materiales asociados y paleografía</w:t>
            </w:r>
          </w:p>
        </w:tc>
        <w:tc>
          <w:tcPr>
            <w:tcW w:type="dxa" w:w="3324"/>
          </w:tcPr>
          <w:p>
            <w:r/>
            <w:r>
              <w:rPr>
                <w:sz w:val="17"/>
              </w:rPr>
              <w:t>Comparación con diez inscripciones lapidarias de València y Xàtiva (1012–1092), con el epitafio de Sīd Būna (València, 453/1061) y con un dírham de 455/1063</w:t>
            </w:r>
          </w:p>
        </w:tc>
      </w:tr>
      <w:tr>
        <w:tc>
          <w:tcPr>
            <w:tcW w:type="dxa" w:w="3324"/>
          </w:tcPr>
          <w:p>
            <w:r/>
            <w:r>
              <w:rPr>
                <w:b/>
                <w:sz w:val="17"/>
              </w:rPr>
              <w:t>Geografía</w:t>
            </w:r>
          </w:p>
        </w:tc>
        <w:tc>
          <w:tcPr>
            <w:tcW w:type="dxa" w:w="3324"/>
          </w:tcPr>
          <w:p>
            <w:r/>
            <w:r>
              <w:rPr>
                <w:sz w:val="17"/>
              </w:rPr>
              <w:t>Mayoría en València ciudad (SIAM) y su entorno (Benetússer, Silla). También Dénia, El Castellar d'Alcoi, La Vila Joiosa, Albarracín, Toledo, Mértola y la alcazaba de Málaga</w:t>
            </w:r>
          </w:p>
        </w:tc>
        <w:tc>
          <w:tcPr>
            <w:tcW w:type="dxa" w:w="3324"/>
          </w:tcPr>
          <w:p>
            <w:r/>
            <w:r>
              <w:rPr>
                <w:sz w:val="17"/>
              </w:rPr>
              <w:t>La aparición en castillos y alquerías sugiere emulación más allá del medio urbano elitista, según los autores</w:t>
            </w:r>
          </w:p>
        </w:tc>
      </w:tr>
    </w:tbl>
    <w:p/>
    <w:p>
      <w:pPr>
        <w:pStyle w:val="Heading3"/>
      </w:pPr>
      <w:r>
        <w:t>1.3 Lectura epigráfica: las cuatro series y los fragmentos dudosos</w:t>
      </w:r>
    </w:p>
    <w:p>
      <w:r>
        <w:t xml:space="preserve">Cada pieza responde al esquema </w:t>
      </w:r>
      <w:r>
        <w:rPr>
          <w:b/>
        </w:rPr>
        <w:t>kul + [nombre del guiso]</w:t>
      </w:r>
      <w:r>
        <w:t>. Entre corchetes van las letras restituidas por los autores. Los rótulos árabes son los impresos en las láminas.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sz w:val="17"/>
              </w:rPr>
              <w:t>Serie (lámina)</w:t>
            </w:r>
          </w:p>
        </w:tc>
        <w:tc>
          <w:tcPr>
            <w:tcW w:type="dxa" w:w="2493"/>
            <w:shd w:val="clear" w:color="auto" w:fill="D9E2F3"/>
          </w:tcPr>
          <w:p>
            <w:r>
              <w:rPr>
                <w:b/>
              </w:rPr>
            </w:r>
            <w:r>
              <w:rPr>
                <w:b/>
                <w:sz w:val="17"/>
              </w:rPr>
              <w:t>Transliteración</w:t>
            </w:r>
          </w:p>
        </w:tc>
        <w:tc>
          <w:tcPr>
            <w:tcW w:type="dxa" w:w="2493"/>
            <w:shd w:val="clear" w:color="auto" w:fill="D9E2F3"/>
          </w:tcPr>
          <w:p>
            <w:r>
              <w:rPr>
                <w:b/>
              </w:rPr>
            </w:r>
            <w:r>
              <w:rPr>
                <w:b/>
                <w:sz w:val="17"/>
              </w:rPr>
              <w:t>Traducción del plato</w:t>
            </w:r>
          </w:p>
        </w:tc>
        <w:tc>
          <w:tcPr>
            <w:tcW w:type="dxa" w:w="2493"/>
            <w:shd w:val="clear" w:color="auto" w:fill="D9E2F3"/>
          </w:tcPr>
          <w:p>
            <w:r>
              <w:rPr>
                <w:b/>
              </w:rPr>
            </w:r>
            <w:r>
              <w:rPr>
                <w:b/>
                <w:sz w:val="17"/>
              </w:rPr>
              <w:t>Piezas (según los pies de lámina)</w:t>
            </w:r>
          </w:p>
        </w:tc>
      </w:tr>
      <w:tr>
        <w:tc>
          <w:tcPr>
            <w:tcW w:type="dxa" w:w="2493"/>
          </w:tcPr>
          <w:p>
            <w:r/>
            <w:r>
              <w:rPr>
                <w:sz w:val="17"/>
              </w:rPr>
              <w:t>1 · Lám. I</w:t>
            </w:r>
          </w:p>
        </w:tc>
        <w:tc>
          <w:tcPr>
            <w:tcW w:type="dxa" w:w="2493"/>
          </w:tcPr>
          <w:p>
            <w:r/>
            <w:r>
              <w:rPr>
                <w:i/>
                <w:sz w:val="17"/>
              </w:rPr>
              <w:t>kul baqliyya</w:t>
            </w:r>
          </w:p>
        </w:tc>
        <w:tc>
          <w:tcPr>
            <w:tcW w:type="dxa" w:w="2493"/>
          </w:tcPr>
          <w:p>
            <w:r/>
            <w:r>
              <w:rPr>
                <w:sz w:val="17"/>
              </w:rPr>
              <w:t>guiso con verduras</w:t>
            </w:r>
          </w:p>
        </w:tc>
        <w:tc>
          <w:tcPr>
            <w:tcW w:type="dxa" w:w="2493"/>
          </w:tcPr>
          <w:p>
            <w:r/>
            <w:r>
              <w:rPr>
                <w:sz w:val="17"/>
              </w:rPr>
              <w:t>7: Benetússer (1.1), València (1.2–1.6) y Dénia (1.7, conocido por dibujo)</w:t>
            </w:r>
          </w:p>
        </w:tc>
      </w:tr>
      <w:tr>
        <w:tc>
          <w:tcPr>
            <w:tcW w:type="dxa" w:w="2493"/>
          </w:tcPr>
          <w:p>
            <w:r/>
            <w:r>
              <w:rPr>
                <w:sz w:val="17"/>
              </w:rPr>
              <w:t>2 · Lám. II</w:t>
            </w:r>
          </w:p>
        </w:tc>
        <w:tc>
          <w:tcPr>
            <w:tcW w:type="dxa" w:w="2493"/>
          </w:tcPr>
          <w:p>
            <w:r/>
            <w:r>
              <w:rPr>
                <w:i/>
                <w:sz w:val="17"/>
              </w:rPr>
              <w:t>kul qarʿiyya</w:t>
            </w:r>
          </w:p>
        </w:tc>
        <w:tc>
          <w:tcPr>
            <w:tcW w:type="dxa" w:w="2493"/>
          </w:tcPr>
          <w:p>
            <w:r/>
            <w:r>
              <w:rPr>
                <w:sz w:val="17"/>
              </w:rPr>
              <w:t>guiso con calabaza</w:t>
            </w:r>
          </w:p>
        </w:tc>
        <w:tc>
          <w:tcPr>
            <w:tcW w:type="dxa" w:w="2493"/>
          </w:tcPr>
          <w:p>
            <w:r/>
            <w:r>
              <w:rPr>
                <w:sz w:val="17"/>
              </w:rPr>
              <w:t>4, todas de València (2.1 es un cuenco casi completo; de la 2.4, la única pequeña, solo se conserva la base)</w:t>
            </w:r>
          </w:p>
        </w:tc>
      </w:tr>
      <w:tr>
        <w:tc>
          <w:tcPr>
            <w:tcW w:type="dxa" w:w="2493"/>
          </w:tcPr>
          <w:p>
            <w:r/>
            <w:r>
              <w:rPr>
                <w:sz w:val="17"/>
              </w:rPr>
              <w:t>3 · Lám. III</w:t>
            </w:r>
          </w:p>
        </w:tc>
        <w:tc>
          <w:tcPr>
            <w:tcW w:type="dxa" w:w="2493"/>
          </w:tcPr>
          <w:p>
            <w:r/>
            <w:r>
              <w:rPr>
                <w:i/>
                <w:sz w:val="17"/>
              </w:rPr>
              <w:t>kul ŷulaydiyya</w:t>
            </w:r>
          </w:p>
        </w:tc>
        <w:tc>
          <w:tcPr>
            <w:tcW w:type="dxa" w:w="2493"/>
          </w:tcPr>
          <w:p>
            <w:r/>
            <w:r>
              <w:rPr>
                <w:sz w:val="17"/>
              </w:rPr>
              <w:t>«encostradito»</w:t>
            </w:r>
          </w:p>
        </w:tc>
        <w:tc>
          <w:tcPr>
            <w:tcW w:type="dxa" w:w="2493"/>
          </w:tcPr>
          <w:p>
            <w:r/>
            <w:r>
              <w:rPr>
                <w:sz w:val="17"/>
              </w:rPr>
              <w:t>12: 9 de València, 1 de Albarracín (3.4), 1 de El Castellar d'Alcoi (3.11) y 1 de Mértola (3.12)</w:t>
            </w:r>
          </w:p>
        </w:tc>
      </w:tr>
      <w:tr>
        <w:tc>
          <w:tcPr>
            <w:tcW w:type="dxa" w:w="2493"/>
          </w:tcPr>
          <w:p>
            <w:r/>
            <w:r>
              <w:rPr>
                <w:sz w:val="17"/>
              </w:rPr>
              <w:t>4 · Lám. IV</w:t>
            </w:r>
          </w:p>
        </w:tc>
        <w:tc>
          <w:tcPr>
            <w:tcW w:type="dxa" w:w="2493"/>
          </w:tcPr>
          <w:p>
            <w:r/>
            <w:r>
              <w:rPr>
                <w:i/>
                <w:sz w:val="17"/>
              </w:rPr>
              <w:t>kul gassāniyya</w:t>
            </w:r>
          </w:p>
        </w:tc>
        <w:tc>
          <w:tcPr>
            <w:tcW w:type="dxa" w:w="2493"/>
          </w:tcPr>
          <w:p>
            <w:r/>
            <w:r>
              <w:rPr>
                <w:sz w:val="17"/>
              </w:rPr>
              <w:t>guiso «de al-Gassānī»</w:t>
            </w:r>
          </w:p>
        </w:tc>
        <w:tc>
          <w:tcPr>
            <w:tcW w:type="dxa" w:w="2493"/>
          </w:tcPr>
          <w:p>
            <w:r/>
            <w:r>
              <w:rPr>
                <w:sz w:val="17"/>
              </w:rPr>
              <w:t>11: 9 de València, 1 de Silla (4.5) y 1 de Toledo (4.11)</w:t>
            </w:r>
          </w:p>
        </w:tc>
      </w:tr>
      <w:tr>
        <w:tc>
          <w:tcPr>
            <w:tcW w:type="dxa" w:w="2493"/>
          </w:tcPr>
          <w:p>
            <w:r/>
            <w:r>
              <w:rPr>
                <w:sz w:val="17"/>
              </w:rPr>
              <w:t>Lám. V</w:t>
            </w:r>
          </w:p>
        </w:tc>
        <w:tc>
          <w:tcPr>
            <w:tcW w:type="dxa" w:w="2493"/>
          </w:tcPr>
          <w:p>
            <w:r/>
            <w:r>
              <w:rPr>
                <w:i/>
                <w:sz w:val="17"/>
              </w:rPr>
              <w:t>kul</w:t>
            </w:r>
            <w:r>
              <w:rPr>
                <w:sz w:val="17"/>
              </w:rPr>
              <w:t xml:space="preserve">; </w:t>
            </w:r>
            <w:r>
              <w:rPr>
                <w:i/>
                <w:sz w:val="17"/>
              </w:rPr>
              <w:t>kul tawakkal</w:t>
            </w:r>
          </w:p>
        </w:tc>
        <w:tc>
          <w:tcPr>
            <w:tcW w:type="dxa" w:w="2493"/>
          </w:tcPr>
          <w:p>
            <w:r/>
            <w:r>
              <w:rPr>
                <w:sz w:val="17"/>
              </w:rPr>
              <w:t>sin nombre de plato seguro</w:t>
            </w:r>
          </w:p>
        </w:tc>
        <w:tc>
          <w:tcPr>
            <w:tcW w:type="dxa" w:w="2493"/>
          </w:tcPr>
          <w:p>
            <w:r/>
            <w:r>
              <w:rPr>
                <w:sz w:val="17"/>
              </w:rPr>
              <w:t>6 (5.1–5.6): alcazaba de Málaga, Albarracín, València, La Vila Joiosa</w:t>
            </w:r>
          </w:p>
        </w:tc>
      </w:tr>
    </w:tbl>
    <w:p/>
    <w:p>
      <w:r>
        <w:t>La suma de piezas de las láminas I–IV es 34, y con las 6 de la lámina V resultan 40, que coincide con los «cuarenta ejemplares» del resumen. Es una comprobación aritmética mía sobre los pies de lámina, no una cifra declarada por los autores en esos términos.</w:t>
      </w:r>
    </w:p>
    <w:p>
      <w:r>
        <w:rPr>
          <w:b/>
        </w:rPr>
        <w:t>Variantes y lecturas dudosas (según los autores).</w:t>
      </w:r>
    </w:p>
    <w:p>
      <w:pPr>
        <w:pStyle w:val="ListBullet"/>
      </w:pPr>
      <w:r>
        <w:rPr>
          <w:i/>
        </w:rPr>
        <w:t>Kul hanī'an</w:t>
      </w:r>
      <w:r>
        <w:t>, «¡come, buen provecho!», en el plato de la alcazaba de Málaga (5.1). Es una fórmula próxima a un voto de buena digestión.</w:t>
      </w:r>
    </w:p>
    <w:p>
      <w:pPr>
        <w:pStyle w:val="ListBullet"/>
      </w:pPr>
      <w:r>
        <w:rPr>
          <w:i/>
        </w:rPr>
        <w:t>Tawakkal tukfà</w:t>
      </w:r>
      <w:r>
        <w:t xml:space="preserve">, «¡confía, te bastará!», como posible lectura de los fragmentos 5.4 a 5.6, con alternativas «¡come </w:t>
      </w:r>
      <w:r>
        <w:rPr>
          <w:i/>
        </w:rPr>
        <w:t>baqliyya</w:t>
      </w:r>
      <w:r>
        <w:t xml:space="preserve">!» o «¡come </w:t>
      </w:r>
      <w:r>
        <w:rPr>
          <w:i/>
        </w:rPr>
        <w:t>ŷulaydiyya</w:t>
      </w:r>
      <w:r>
        <w:t xml:space="preserve">!» en 5.4 y 5.6. Según el artículo, es un imperativo que recoge el </w:t>
      </w:r>
      <w:r>
        <w:rPr>
          <w:i/>
        </w:rPr>
        <w:t>Ḥadīṯ</w:t>
      </w:r>
      <w:r>
        <w:t>, que usaron talleres iranios y persas de los siglos IX–X y que está presente en la vajilla cordobesa y valenciana de los siglos X–XI.</w:t>
      </w:r>
    </w:p>
    <w:p>
      <w:pPr>
        <w:pStyle w:val="ListBullet"/>
      </w:pPr>
      <w:r>
        <w:t xml:space="preserve">Dos secuencias cúficas que Barceló había leído como </w:t>
      </w:r>
      <w:r>
        <w:rPr>
          <w:i/>
        </w:rPr>
        <w:t>qurʾāta-hu</w:t>
      </w:r>
      <w:r>
        <w:t xml:space="preserve"> («su mejor parte», n.º 2.1) y </w:t>
      </w:r>
      <w:r>
        <w:rPr>
          <w:i/>
        </w:rPr>
        <w:t>naqlata-hu</w:t>
      </w:r>
      <w:r>
        <w:t xml:space="preserve"> («su aperitivo», n.º 1.1) pasan a leerse </w:t>
      </w:r>
      <w:r>
        <w:rPr>
          <w:i/>
        </w:rPr>
        <w:t>qarʿiyya</w:t>
      </w:r>
      <w:r>
        <w:t xml:space="preserve"> («con calabaza») y </w:t>
      </w:r>
      <w:r>
        <w:rPr>
          <w:i/>
        </w:rPr>
        <w:t>baqliyya</w:t>
      </w:r>
      <w:r>
        <w:t xml:space="preserve"> («con legumbres») tras consultar los libros de cocina. Los autores lo presentan como una </w:t>
      </w:r>
      <w:r>
        <w:rPr>
          <w:i/>
        </w:rPr>
        <w:t>lectio facilior</w:t>
      </w:r>
      <w:r>
        <w:t xml:space="preserve"> admisible, porque no obliga a cambiar los signos cúficos.</w:t>
      </w:r>
    </w:p>
    <w:p>
      <w:pPr>
        <w:pStyle w:val="ListBullet"/>
      </w:pPr>
      <w:r>
        <w:t>Los trazos de cartela y el alargamiento de astas del cúfico foliado dificultan las lecturas de los fragmentos pequeños, y por eso la lectura depende de la palabra que sigue al imperativo.</w:t>
      </w:r>
    </w:p>
    <w:p>
      <w:pPr>
        <w:pStyle w:val="Heading3"/>
      </w:pPr>
      <w:r>
        <w:t>1.4 Distinción entre fórmulas propiciatorias y la serie «¡Come!»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sz w:val="17"/>
              </w:rPr>
              <w:t>Tipo</w:t>
            </w:r>
          </w:p>
        </w:tc>
        <w:tc>
          <w:tcPr>
            <w:tcW w:type="dxa" w:w="2493"/>
            <w:shd w:val="clear" w:color="auto" w:fill="D9E2F3"/>
          </w:tcPr>
          <w:p>
            <w:r>
              <w:rPr>
                <w:b/>
              </w:rPr>
            </w:r>
            <w:r>
              <w:rPr>
                <w:b/>
                <w:sz w:val="17"/>
              </w:rPr>
              <w:t>Ejemplos</w:t>
            </w:r>
          </w:p>
        </w:tc>
        <w:tc>
          <w:tcPr>
            <w:tcW w:type="dxa" w:w="2493"/>
            <w:shd w:val="clear" w:color="auto" w:fill="D9E2F3"/>
          </w:tcPr>
          <w:p>
            <w:r>
              <w:rPr>
                <w:b/>
              </w:rPr>
            </w:r>
            <w:r>
              <w:rPr>
                <w:b/>
                <w:sz w:val="17"/>
              </w:rPr>
              <w:t>Dónde aparece</w:t>
            </w:r>
          </w:p>
        </w:tc>
        <w:tc>
          <w:tcPr>
            <w:tcW w:type="dxa" w:w="2493"/>
            <w:shd w:val="clear" w:color="auto" w:fill="D9E2F3"/>
          </w:tcPr>
          <w:p>
            <w:r>
              <w:rPr>
                <w:b/>
              </w:rPr>
            </w:r>
            <w:r>
              <w:rPr>
                <w:b/>
                <w:sz w:val="17"/>
              </w:rPr>
              <w:t>Función</w:t>
            </w:r>
          </w:p>
        </w:tc>
      </w:tr>
      <w:tr>
        <w:tc>
          <w:tcPr>
            <w:tcW w:type="dxa" w:w="2493"/>
          </w:tcPr>
          <w:p>
            <w:r/>
            <w:r>
              <w:rPr>
                <w:b/>
                <w:sz w:val="17"/>
              </w:rPr>
              <w:t>Eulógico o propiciatorio</w:t>
            </w:r>
          </w:p>
        </w:tc>
        <w:tc>
          <w:tcPr>
            <w:tcW w:type="dxa" w:w="2493"/>
          </w:tcPr>
          <w:p>
            <w:r/>
            <w:r>
              <w:rPr>
                <w:i/>
                <w:sz w:val="17"/>
              </w:rPr>
              <w:t>al-mulk</w:t>
            </w:r>
            <w:r>
              <w:rPr>
                <w:sz w:val="17"/>
              </w:rPr>
              <w:t xml:space="preserve">, </w:t>
            </w:r>
            <w:r>
              <w:rPr>
                <w:i/>
                <w:sz w:val="17"/>
              </w:rPr>
              <w:t>baraka</w:t>
            </w:r>
            <w:r>
              <w:rPr>
                <w:sz w:val="17"/>
              </w:rPr>
              <w:t xml:space="preserve">, </w:t>
            </w:r>
            <w:r>
              <w:rPr>
                <w:i/>
                <w:sz w:val="17"/>
              </w:rPr>
              <w:t>yumn</w:t>
            </w:r>
            <w:r>
              <w:rPr>
                <w:sz w:val="17"/>
              </w:rPr>
              <w:t xml:space="preserve">, </w:t>
            </w:r>
            <w:r>
              <w:rPr>
                <w:i/>
                <w:sz w:val="17"/>
              </w:rPr>
              <w:t>ʿāfiya</w:t>
            </w:r>
          </w:p>
        </w:tc>
        <w:tc>
          <w:tcPr>
            <w:tcW w:type="dxa" w:w="2493"/>
          </w:tcPr>
          <w:p>
            <w:r/>
            <w:r>
              <w:rPr>
                <w:sz w:val="17"/>
              </w:rPr>
              <w:t xml:space="preserve">Vajilla cordobesa «verde-manganeso». Según autores citados en el artículo, </w:t>
            </w:r>
            <w:r>
              <w:rPr>
                <w:i/>
                <w:sz w:val="17"/>
              </w:rPr>
              <w:t>mulk</w:t>
            </w:r>
            <w:r>
              <w:rPr>
                <w:sz w:val="17"/>
              </w:rPr>
              <w:t xml:space="preserve"> habría sido un lema de la dinastía omeya</w:t>
            </w:r>
          </w:p>
        </w:tc>
        <w:tc>
          <w:tcPr>
            <w:tcW w:type="dxa" w:w="2493"/>
          </w:tcPr>
          <w:p>
            <w:r/>
            <w:r>
              <w:rPr>
                <w:sz w:val="17"/>
              </w:rPr>
              <w:t>Deseo de bienestar o soberanía, sin referencia a lo que contiene la vasija</w:t>
            </w:r>
          </w:p>
        </w:tc>
      </w:tr>
      <w:tr>
        <w:tc>
          <w:tcPr>
            <w:tcW w:type="dxa" w:w="2493"/>
          </w:tcPr>
          <w:p>
            <w:r/>
            <w:r>
              <w:rPr>
                <w:b/>
                <w:sz w:val="17"/>
              </w:rPr>
              <w:t>Religioso de confianza</w:t>
            </w:r>
          </w:p>
        </w:tc>
        <w:tc>
          <w:tcPr>
            <w:tcW w:type="dxa" w:w="2493"/>
          </w:tcPr>
          <w:p>
            <w:r/>
            <w:r>
              <w:rPr>
                <w:i/>
                <w:sz w:val="17"/>
              </w:rPr>
              <w:t>tawakkal</w:t>
            </w:r>
            <w:r>
              <w:rPr>
                <w:sz w:val="17"/>
              </w:rPr>
              <w:t xml:space="preserve">, </w:t>
            </w:r>
            <w:r>
              <w:rPr>
                <w:i/>
                <w:sz w:val="17"/>
              </w:rPr>
              <w:t>tawakkal tukfà</w:t>
            </w:r>
          </w:p>
        </w:tc>
        <w:tc>
          <w:tcPr>
            <w:tcW w:type="dxa" w:w="2493"/>
          </w:tcPr>
          <w:p>
            <w:r/>
            <w:r>
              <w:rPr>
                <w:sz w:val="17"/>
              </w:rPr>
              <w:t>Vajilla cordobesa y valenciana (ss. X–XI), con precedentes en talleres iranios y persas (ss. IX–X)</w:t>
            </w:r>
          </w:p>
        </w:tc>
        <w:tc>
          <w:tcPr>
            <w:tcW w:type="dxa" w:w="2493"/>
          </w:tcPr>
          <w:p>
            <w:r/>
            <w:r>
              <w:rPr>
                <w:sz w:val="17"/>
              </w:rPr>
              <w:t>Invocación de confianza en Dios</w:t>
            </w:r>
          </w:p>
        </w:tc>
      </w:tr>
      <w:tr>
        <w:tc>
          <w:tcPr>
            <w:tcW w:type="dxa" w:w="2493"/>
          </w:tcPr>
          <w:p>
            <w:r/>
            <w:r>
              <w:rPr>
                <w:b/>
                <w:sz w:val="17"/>
              </w:rPr>
              <w:t>Funcional-dietético</w:t>
            </w:r>
          </w:p>
        </w:tc>
        <w:tc>
          <w:tcPr>
            <w:tcW w:type="dxa" w:w="2493"/>
          </w:tcPr>
          <w:p>
            <w:r/>
            <w:r>
              <w:rPr>
                <w:i/>
                <w:sz w:val="17"/>
              </w:rPr>
              <w:t>kul</w:t>
            </w:r>
            <w:r>
              <w:rPr>
                <w:sz w:val="17"/>
              </w:rPr>
              <w:t xml:space="preserve"> + nombre de guiso; </w:t>
            </w:r>
            <w:r>
              <w:rPr>
                <w:i/>
                <w:sz w:val="17"/>
              </w:rPr>
              <w:t>kul hanī'an</w:t>
            </w:r>
          </w:p>
        </w:tc>
        <w:tc>
          <w:tcPr>
            <w:tcW w:type="dxa" w:w="2493"/>
          </w:tcPr>
          <w:p>
            <w:r/>
            <w:r>
              <w:rPr>
                <w:sz w:val="17"/>
              </w:rPr>
              <w:t>Serie «¡Come!», València, siglo XI</w:t>
            </w:r>
          </w:p>
        </w:tc>
        <w:tc>
          <w:tcPr>
            <w:tcW w:type="dxa" w:w="2493"/>
          </w:tcPr>
          <w:p>
            <w:r/>
            <w:r>
              <w:rPr>
                <w:b/>
                <w:sz w:val="17"/>
              </w:rPr>
              <w:t>Invitación a comer</w:t>
            </w:r>
            <w:r>
              <w:rPr>
                <w:sz w:val="17"/>
              </w:rPr>
              <w:t xml:space="preserve"> que nombra el plato servido</w:t>
            </w:r>
          </w:p>
        </w:tc>
      </w:tr>
    </w:tbl>
    <w:p/>
    <w:p>
      <w:r>
        <w:t>La cita coránica que abre el artículo (2, 168) enmarca el imperativo en el discurso de lo lícito y bueno. Es una elección de los autores en el epígrafe del trabajo, no una lectura de ninguna pieza.</w:t>
      </w:r>
    </w:p>
    <w:p>
      <w:pPr>
        <w:pStyle w:val="Heading3"/>
      </w:pPr>
      <w:r>
        <w:t>1.5 Paleografía y datación</w:t>
      </w:r>
    </w:p>
    <w:p>
      <w:r>
        <w:t xml:space="preserve">El artículo reúne en la Fig. 5 las grafías presentes en la serie, un repertorio lo bastante amplio como para completar casi todo el alfabeto árabe. Las compara con las de </w:t>
      </w:r>
      <w:r>
        <w:rPr>
          <w:b/>
        </w:rPr>
        <w:t>diez inscripciones lapidarias</w:t>
      </w:r>
      <w:r>
        <w:t xml:space="preserve"> (siete de València y tres de Xàtiva) fechadas entre 1012 y 1092 (Fig. 6A: Xàtiva, 429/1038; Fig. 6B: epitafio de Sīd Būna, València, 453/1061). Los trazos de la cerámica recuerdan poco a la inscripción de Xàtiva de 1038 y reproducen, en cambio, la evolución del epitafio de 1061: trazos más finos, letras que ganan altura, cabezas puntiagudas o enroscadas y unión curva bajo el renglón entre casi todas las letras. El segundo epitafio coincide también en estilo con un dírham de 455/1063 y con el cúfico de epitafios y monedas de al-Ma'mūn, que gobernó Toledo y València en 457–467/1065–1075. Los autores usan este dato para explicar el ejemplar de Toledo (n.º 4.11), que tiene igual texto y grafías. De ahí sale la datación en la </w:t>
      </w:r>
      <w:r>
        <w:rPr>
          <w:b/>
        </w:rPr>
        <w:t>segunda mitad del siglo XI</w:t>
      </w:r>
      <w:r>
        <w:t>.</w:t>
      </w:r>
    </w:p>
    <w:p>
      <w:r>
        <w:t xml:space="preserve">Detalles gráficos coincidentes en doce piezas (1.4, 1.6, 3.1–3.4, 3.6, 3.7, 4.1, 4.3, 4.4 y 4.8) sugieren </w:t>
      </w:r>
      <w:r>
        <w:rPr>
          <w:b/>
        </w:rPr>
        <w:t>un mismo taller</w:t>
      </w:r>
      <w:r>
        <w:t xml:space="preserve"> para buena parte de la serie. Cinco de ellas comparten un relleno en el interior del signo 15f. La coincidencia de una pieza de Albarracín (3.4) con ese grupo lleva a los autores a preguntarse si es una importación valenciana.</w:t>
      </w:r>
    </w:p>
    <w:p>
      <w:pPr>
        <w:pStyle w:val="Heading3"/>
      </w:pPr>
      <w:r>
        <w:t>1.6 Correlación funcional: forma, inscripción y servicio de mesa</w:t>
      </w:r>
    </w:p>
    <w:p>
      <w:pPr>
        <w:pStyle w:val="ListBullet"/>
      </w:pPr>
      <w:r>
        <w:rPr>
          <w:b/>
        </w:rPr>
        <w:t>Vasija de presentación, no de cocción.</w:t>
      </w:r>
      <w:r>
        <w:t xml:space="preserve"> Los autores sostienen que las zafas servían para presentar en la mesa un manjar que se consumía en ocasiones extraordinarias (una fiesta), no en el consumo diario. El vidriado interior evitaba la impregnación de grasa y permitía reutilizar la pieza tras lavarla.</w:t>
      </w:r>
    </w:p>
    <w:p>
      <w:pPr>
        <w:pStyle w:val="ListBullet"/>
      </w:pPr>
      <w:r>
        <w:rPr>
          <w:b/>
        </w:rPr>
        <w:t>Inscripción y función se corresponden.</w:t>
      </w:r>
      <w:r>
        <w:t xml:space="preserve"> El nombre del plato figura en el fondo, es decir, queda </w:t>
      </w:r>
      <w:r>
        <w:rPr>
          <w:b/>
        </w:rPr>
        <w:t>tapado por el guiso y revelado al comer</w:t>
      </w:r>
      <w:r>
        <w:t>. Es una lectura mía de la disposición, no una afirmación del artículo.</w:t>
      </w:r>
    </w:p>
    <w:p>
      <w:pPr>
        <w:pStyle w:val="ListBullet"/>
      </w:pPr>
      <w:r>
        <w:rPr>
          <w:b/>
        </w:rPr>
        <w:t>Consumo colectivo.</w:t>
      </w:r>
      <w:r>
        <w:t xml:space="preserve"> La capacidad de 2–3 kg y el número de comensales (6–12) corresponden al servicio compartido que describen las fuentes: banquetes por las fiestas del ayuno (</w:t>
      </w:r>
      <w:r>
        <w:rPr>
          <w:i/>
        </w:rPr>
        <w:t>al-fiṭr</w:t>
      </w:r>
      <w:r>
        <w:t>), de los sacrificios (</w:t>
      </w:r>
      <w:r>
        <w:rPr>
          <w:i/>
        </w:rPr>
        <w:t>al-aḍḥà</w:t>
      </w:r>
      <w:r>
        <w:t>) y de la ʿāšūrā', y ocasiones como un nacimiento, una circuncisión, una boda o la vuelta de un peregrino.</w:t>
      </w:r>
    </w:p>
    <w:p>
      <w:pPr>
        <w:pStyle w:val="ListBullet"/>
      </w:pPr>
      <w:r>
        <w:rPr>
          <w:b/>
        </w:rPr>
        <w:t>Terminología.</w:t>
      </w:r>
      <w:r>
        <w:t xml:space="preserve"> Los recetarios usan </w:t>
      </w:r>
      <w:r>
        <w:rPr>
          <w:i/>
        </w:rPr>
        <w:t>ṣaḥfa</w:t>
      </w:r>
      <w:r>
        <w:t xml:space="preserve"> (pl. </w:t>
      </w:r>
      <w:r>
        <w:rPr>
          <w:i/>
        </w:rPr>
        <w:t>ṣiḥāf</w:t>
      </w:r>
      <w:r>
        <w:t xml:space="preserve">), </w:t>
      </w:r>
      <w:r>
        <w:rPr>
          <w:i/>
        </w:rPr>
        <w:t>gidāra</w:t>
      </w:r>
      <w:r>
        <w:t xml:space="preserve"> (pl. </w:t>
      </w:r>
      <w:r>
        <w:rPr>
          <w:i/>
        </w:rPr>
        <w:t>agdira</w:t>
      </w:r>
      <w:r>
        <w:t xml:space="preserve">) y </w:t>
      </w:r>
      <w:r>
        <w:rPr>
          <w:i/>
        </w:rPr>
        <w:t>ṣaḥfa kabīra</w:t>
      </w:r>
      <w:r>
        <w:t xml:space="preserve">. Ibn Quzmān menciona en un zéjel el mercado de ollas y escudillas que se montaba en la gran fiesta de los sacrificios. Rosselló Bordoy (1991) propuso usar </w:t>
      </w:r>
      <w:r>
        <w:rPr>
          <w:i/>
        </w:rPr>
        <w:t>zafa</w:t>
      </w:r>
      <w:r>
        <w:t xml:space="preserve"> para estas piezas.</w:t>
      </w:r>
    </w:p>
    <w:p>
      <w:pPr>
        <w:pStyle w:val="Heading2"/>
      </w:pPr>
      <w:r>
        <w:t>2. Fase 2 · Investigación bibliométrica</w:t>
      </w:r>
    </w:p>
    <w:p>
      <w:pPr>
        <w:pStyle w:val="Heading3"/>
      </w:pPr>
      <w:r>
        <w:t>2.1 Diseño de la búsqueda: bloques conceptuales trilingües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rPr>
            </w:r>
            <w:r>
              <w:rPr>
                <w:b/>
                <w:sz w:val="17"/>
              </w:rPr>
              <w:t>Bloque</w:t>
            </w:r>
          </w:p>
        </w:tc>
        <w:tc>
          <w:tcPr>
            <w:tcW w:type="dxa" w:w="1994"/>
            <w:shd w:val="clear" w:color="auto" w:fill="D9E2F3"/>
          </w:tcPr>
          <w:p>
            <w:r>
              <w:rPr>
                <w:b/>
              </w:rPr>
            </w:r>
            <w:r>
              <w:rPr>
                <w:b/>
                <w:sz w:val="17"/>
              </w:rPr>
              <w:t>Inglés</w:t>
            </w:r>
          </w:p>
        </w:tc>
        <w:tc>
          <w:tcPr>
            <w:tcW w:type="dxa" w:w="1994"/>
            <w:shd w:val="clear" w:color="auto" w:fill="D9E2F3"/>
          </w:tcPr>
          <w:p>
            <w:r>
              <w:rPr>
                <w:b/>
              </w:rPr>
            </w:r>
            <w:r>
              <w:rPr>
                <w:b/>
                <w:sz w:val="17"/>
              </w:rPr>
              <w:t>Español</w:t>
            </w:r>
          </w:p>
        </w:tc>
        <w:tc>
          <w:tcPr>
            <w:tcW w:type="dxa" w:w="1994"/>
            <w:shd w:val="clear" w:color="auto" w:fill="D9E2F3"/>
          </w:tcPr>
          <w:p>
            <w:r>
              <w:rPr>
                <w:b/>
              </w:rPr>
            </w:r>
            <w:r>
              <w:rPr>
                <w:b/>
                <w:sz w:val="17"/>
              </w:rPr>
              <w:t>Francés</w:t>
            </w:r>
          </w:p>
        </w:tc>
        <w:tc>
          <w:tcPr>
            <w:tcW w:type="dxa" w:w="1994"/>
            <w:shd w:val="clear" w:color="auto" w:fill="D9E2F3"/>
          </w:tcPr>
          <w:p>
            <w:r>
              <w:rPr>
                <w:b/>
              </w:rPr>
            </w:r>
            <w:r>
              <w:rPr>
                <w:b/>
                <w:sz w:val="17"/>
              </w:rPr>
              <w:t>Árabe transliterado y variantes</w:t>
            </w:r>
          </w:p>
        </w:tc>
      </w:tr>
      <w:tr>
        <w:tc>
          <w:tcPr>
            <w:tcW w:type="dxa" w:w="1994"/>
          </w:tcPr>
          <w:p>
            <w:r/>
            <w:r>
              <w:rPr>
                <w:b/>
                <w:sz w:val="17"/>
              </w:rPr>
              <w:t>A · Marco geocultural</w:t>
            </w:r>
          </w:p>
        </w:tc>
        <w:tc>
          <w:tcPr>
            <w:tcW w:type="dxa" w:w="1994"/>
          </w:tcPr>
          <w:p>
            <w:r/>
            <w:r>
              <w:rPr>
                <w:sz w:val="17"/>
              </w:rPr>
              <w:t>al-Andalus, Andalusi, Islamic Spain, Islamic Iberia, Hispano-Muslim, Muslim Iberia, Taifa</w:t>
            </w:r>
          </w:p>
        </w:tc>
        <w:tc>
          <w:tcPr>
            <w:tcW w:type="dxa" w:w="1994"/>
          </w:tcPr>
          <w:p>
            <w:r/>
            <w:r>
              <w:rPr>
                <w:sz w:val="17"/>
              </w:rPr>
              <w:t>al-Ándalus, andalusí, hispanomusulmán, taifa, almohade, califal, nazarí</w:t>
            </w:r>
          </w:p>
        </w:tc>
        <w:tc>
          <w:tcPr>
            <w:tcW w:type="dxa" w:w="1994"/>
          </w:tcPr>
          <w:p>
            <w:r/>
            <w:r>
              <w:rPr>
                <w:sz w:val="17"/>
              </w:rPr>
              <w:t>al-Andalus, andalou, Espagne musulmane, Occident islamique</w:t>
            </w:r>
          </w:p>
        </w:tc>
        <w:tc>
          <w:tcPr>
            <w:tcW w:type="dxa" w:w="1994"/>
          </w:tcPr>
          <w:p>
            <w:r/>
            <w:r>
              <w:rPr>
                <w:i/>
                <w:sz w:val="17"/>
              </w:rPr>
              <w:t>Ṭāʾifa</w:t>
            </w:r>
            <w:r>
              <w:rPr>
                <w:sz w:val="17"/>
              </w:rPr>
              <w:t xml:space="preserve">, </w:t>
            </w:r>
            <w:r>
              <w:rPr>
                <w:i/>
                <w:sz w:val="17"/>
              </w:rPr>
              <w:t>Ṭawāʾif</w:t>
            </w:r>
          </w:p>
        </w:tc>
      </w:tr>
      <w:tr>
        <w:tc>
          <w:tcPr>
            <w:tcW w:type="dxa" w:w="1994"/>
          </w:tcPr>
          <w:p>
            <w:r/>
            <w:r>
              <w:rPr>
                <w:b/>
                <w:sz w:val="17"/>
              </w:rPr>
              <w:t>B · Epigrafía</w:t>
            </w:r>
          </w:p>
        </w:tc>
        <w:tc>
          <w:tcPr>
            <w:tcW w:type="dxa" w:w="1994"/>
          </w:tcPr>
          <w:p>
            <w:r/>
            <w:r>
              <w:rPr>
                <w:sz w:val="17"/>
              </w:rPr>
              <w:t>epigraphy, inscription, Kufic, foliated Kufic, Arabic script, calligraphy</w:t>
            </w:r>
          </w:p>
        </w:tc>
        <w:tc>
          <w:tcPr>
            <w:tcW w:type="dxa" w:w="1994"/>
          </w:tcPr>
          <w:p>
            <w:r/>
            <w:r>
              <w:rPr>
                <w:sz w:val="17"/>
              </w:rPr>
              <w:t>epigrafía, epígrafe, inscripción, cúfico, cúfico foliado, escritura árabe, caligrafía</w:t>
            </w:r>
          </w:p>
        </w:tc>
        <w:tc>
          <w:tcPr>
            <w:tcW w:type="dxa" w:w="1994"/>
          </w:tcPr>
          <w:p>
            <w:r/>
            <w:r>
              <w:rPr>
                <w:sz w:val="17"/>
              </w:rPr>
              <w:t>épigraphie, inscriptions arabes, coufique</w:t>
            </w:r>
          </w:p>
        </w:tc>
        <w:tc>
          <w:tcPr>
            <w:tcW w:type="dxa" w:w="1994"/>
          </w:tcPr>
          <w:p>
            <w:r/>
            <w:r>
              <w:rPr>
                <w:i/>
                <w:sz w:val="17"/>
              </w:rPr>
              <w:t>kul</w:t>
            </w:r>
            <w:r>
              <w:rPr>
                <w:sz w:val="17"/>
              </w:rPr>
              <w:t xml:space="preserve">, </w:t>
            </w:r>
            <w:r>
              <w:rPr>
                <w:i/>
                <w:sz w:val="17"/>
              </w:rPr>
              <w:t>tawakkal</w:t>
            </w:r>
            <w:r>
              <w:rPr>
                <w:sz w:val="17"/>
              </w:rPr>
              <w:t xml:space="preserve">, </w:t>
            </w:r>
            <w:r>
              <w:rPr>
                <w:i/>
                <w:sz w:val="17"/>
              </w:rPr>
              <w:t>al-mulk</w:t>
            </w:r>
            <w:r>
              <w:rPr>
                <w:sz w:val="17"/>
              </w:rPr>
              <w:t xml:space="preserve">, </w:t>
            </w:r>
            <w:r>
              <w:rPr>
                <w:i/>
                <w:sz w:val="17"/>
              </w:rPr>
              <w:t>baraka</w:t>
            </w:r>
            <w:r>
              <w:rPr>
                <w:sz w:val="17"/>
              </w:rPr>
              <w:t xml:space="preserve">, </w:t>
            </w:r>
            <w:r>
              <w:rPr>
                <w:i/>
                <w:sz w:val="17"/>
              </w:rPr>
              <w:t>yumn</w:t>
            </w:r>
            <w:r>
              <w:rPr>
                <w:sz w:val="17"/>
              </w:rPr>
              <w:t xml:space="preserve">, </w:t>
            </w:r>
            <w:r>
              <w:rPr>
                <w:i/>
                <w:sz w:val="17"/>
              </w:rPr>
              <w:t>ʿāfiya</w:t>
            </w:r>
          </w:p>
        </w:tc>
      </w:tr>
      <w:tr>
        <w:tc>
          <w:tcPr>
            <w:tcW w:type="dxa" w:w="1994"/>
          </w:tcPr>
          <w:p>
            <w:r/>
            <w:r>
              <w:rPr>
                <w:b/>
                <w:sz w:val="17"/>
              </w:rPr>
              <w:t>C · Cerámica</w:t>
            </w:r>
          </w:p>
        </w:tc>
        <w:tc>
          <w:tcPr>
            <w:tcW w:type="dxa" w:w="1994"/>
          </w:tcPr>
          <w:p>
            <w:r/>
            <w:r>
              <w:rPr>
                <w:sz w:val="17"/>
              </w:rPr>
              <w:t xml:space="preserve">pottery, ceramics, tableware, lusterware, green and manganese, </w:t>
            </w:r>
            <w:r>
              <w:rPr>
                <w:i/>
                <w:sz w:val="17"/>
              </w:rPr>
              <w:t>cuerda seca</w:t>
            </w:r>
          </w:p>
        </w:tc>
        <w:tc>
          <w:tcPr>
            <w:tcW w:type="dxa" w:w="1994"/>
          </w:tcPr>
          <w:p>
            <w:r/>
            <w:r>
              <w:rPr>
                <w:sz w:val="17"/>
              </w:rPr>
              <w:t xml:space="preserve">cerámica, vajilla, loza dorada, verde y manganeso, cuerda seca, </w:t>
            </w:r>
            <w:r>
              <w:rPr>
                <w:i/>
                <w:sz w:val="17"/>
              </w:rPr>
              <w:t>zafa</w:t>
            </w:r>
            <w:r>
              <w:rPr>
                <w:sz w:val="17"/>
              </w:rPr>
              <w:t>, ataifor, tinaja, orza, redoma, orcita, alcadafe, cazuela</w:t>
            </w:r>
          </w:p>
        </w:tc>
        <w:tc>
          <w:tcPr>
            <w:tcW w:type="dxa" w:w="1994"/>
          </w:tcPr>
          <w:p>
            <w:r/>
            <w:r>
              <w:rPr>
                <w:sz w:val="17"/>
              </w:rPr>
              <w:t>céramique, vaisselle</w:t>
            </w:r>
          </w:p>
        </w:tc>
        <w:tc>
          <w:tcPr>
            <w:tcW w:type="dxa" w:w="1994"/>
          </w:tcPr>
          <w:p>
            <w:r/>
            <w:r>
              <w:rPr>
                <w:i/>
                <w:sz w:val="17"/>
              </w:rPr>
              <w:t>ṣaḥfa</w:t>
            </w:r>
            <w:r>
              <w:rPr>
                <w:sz w:val="17"/>
              </w:rPr>
              <w:t xml:space="preserve">, </w:t>
            </w:r>
            <w:r>
              <w:rPr>
                <w:i/>
                <w:sz w:val="17"/>
              </w:rPr>
              <w:t>zafa</w:t>
            </w:r>
            <w:r>
              <w:rPr>
                <w:sz w:val="17"/>
              </w:rPr>
              <w:t xml:space="preserve">, </w:t>
            </w:r>
            <w:r>
              <w:rPr>
                <w:i/>
                <w:sz w:val="17"/>
              </w:rPr>
              <w:t>gidāra</w:t>
            </w:r>
            <w:r>
              <w:rPr>
                <w:sz w:val="17"/>
              </w:rPr>
              <w:t xml:space="preserve">, </w:t>
            </w:r>
            <w:r>
              <w:rPr>
                <w:i/>
                <w:sz w:val="17"/>
              </w:rPr>
              <w:t>qidr</w:t>
            </w:r>
            <w:r>
              <w:rPr>
                <w:sz w:val="17"/>
              </w:rPr>
              <w:t xml:space="preserve">, </w:t>
            </w:r>
            <w:r>
              <w:rPr>
                <w:i/>
                <w:sz w:val="17"/>
              </w:rPr>
              <w:t>tannūr</w:t>
            </w:r>
          </w:p>
        </w:tc>
      </w:tr>
      <w:tr>
        <w:tc>
          <w:tcPr>
            <w:tcW w:type="dxa" w:w="1994"/>
          </w:tcPr>
          <w:p>
            <w:r/>
            <w:r>
              <w:rPr>
                <w:b/>
                <w:sz w:val="17"/>
              </w:rPr>
              <w:t>D · Alimentación y archeometría</w:t>
            </w:r>
          </w:p>
        </w:tc>
        <w:tc>
          <w:tcPr>
            <w:tcW w:type="dxa" w:w="1994"/>
          </w:tcPr>
          <w:p>
            <w:r/>
            <w:r>
              <w:rPr>
                <w:sz w:val="17"/>
              </w:rPr>
              <w:t>food, diet, cuisine, cookbook, recipe, organic residue analysis, lipid residue, archaeobotany, zooarchaeology, banquet</w:t>
            </w:r>
          </w:p>
        </w:tc>
        <w:tc>
          <w:tcPr>
            <w:tcW w:type="dxa" w:w="1994"/>
          </w:tcPr>
          <w:p>
            <w:r/>
            <w:r>
              <w:rPr>
                <w:sz w:val="17"/>
              </w:rPr>
              <w:t>alimentación, dieta, cocina, gastronomía, recetario, análisis de residuos orgánicos, arqueobotánica, zooarqueología, banquete, guiso</w:t>
            </w:r>
          </w:p>
        </w:tc>
        <w:tc>
          <w:tcPr>
            <w:tcW w:type="dxa" w:w="1994"/>
          </w:tcPr>
          <w:p>
            <w:r/>
            <w:r>
              <w:rPr>
                <w:sz w:val="17"/>
              </w:rPr>
              <w:t>alimentation, cuisine, livre de cuisine, archéobotanique, archéozoologie</w:t>
            </w:r>
          </w:p>
        </w:tc>
        <w:tc>
          <w:tcPr>
            <w:tcW w:type="dxa" w:w="1994"/>
          </w:tcPr>
          <w:p>
            <w:r/>
            <w:r>
              <w:rPr>
                <w:i/>
                <w:sz w:val="17"/>
              </w:rPr>
              <w:t>ṭabīḵ</w:t>
            </w:r>
            <w:r>
              <w:rPr>
                <w:sz w:val="17"/>
              </w:rPr>
              <w:t>/</w:t>
            </w:r>
            <w:r>
              <w:rPr>
                <w:i/>
                <w:sz w:val="17"/>
              </w:rPr>
              <w:t>ṭabīj</w:t>
            </w:r>
            <w:r>
              <w:rPr>
                <w:sz w:val="17"/>
              </w:rPr>
              <w:t xml:space="preserve">, </w:t>
            </w:r>
            <w:r>
              <w:rPr>
                <w:i/>
                <w:sz w:val="17"/>
              </w:rPr>
              <w:t>majlis</w:t>
            </w:r>
            <w:r>
              <w:rPr>
                <w:sz w:val="17"/>
              </w:rPr>
              <w:t xml:space="preserve">, </w:t>
            </w:r>
            <w:r>
              <w:rPr>
                <w:i/>
                <w:sz w:val="17"/>
              </w:rPr>
              <w:t>waḍīma</w:t>
            </w:r>
          </w:p>
        </w:tc>
      </w:tr>
      <w:tr>
        <w:tc>
          <w:tcPr>
            <w:tcW w:type="dxa" w:w="1994"/>
          </w:tcPr>
          <w:p>
            <w:r/>
            <w:r>
              <w:rPr>
                <w:b/>
                <w:sz w:val="17"/>
              </w:rPr>
              <w:t>E · Textos y platos</w:t>
            </w:r>
          </w:p>
        </w:tc>
        <w:tc>
          <w:tcPr>
            <w:tcW w:type="dxa" w:w="1994"/>
          </w:tcPr>
          <w:p>
            <w:r/>
            <w:r>
              <w:rPr>
                <w:sz w:val="17"/>
              </w:rPr>
              <w:t>cookbook, hisba treatise, dietetics</w:t>
            </w:r>
          </w:p>
        </w:tc>
        <w:tc>
          <w:tcPr>
            <w:tcW w:type="dxa" w:w="1994"/>
          </w:tcPr>
          <w:p>
            <w:r/>
            <w:r>
              <w:rPr>
                <w:sz w:val="17"/>
              </w:rPr>
              <w:t>libro de cocina, tratado de hisba, dietética</w:t>
            </w:r>
          </w:p>
        </w:tc>
        <w:tc>
          <w:tcPr>
            <w:tcW w:type="dxa" w:w="1994"/>
          </w:tcPr>
          <w:p>
            <w:r/>
            <w:r>
              <w:rPr>
                <w:sz w:val="17"/>
              </w:rPr>
              <w:t>traité de ḥisba, diététique</w:t>
            </w:r>
          </w:p>
        </w:tc>
        <w:tc>
          <w:tcPr>
            <w:tcW w:type="dxa" w:w="1994"/>
          </w:tcPr>
          <w:p>
            <w:r/>
            <w:r>
              <w:rPr>
                <w:i/>
                <w:sz w:val="17"/>
              </w:rPr>
              <w:t>baqliyya</w:t>
            </w:r>
            <w:r>
              <w:rPr>
                <w:sz w:val="17"/>
              </w:rPr>
              <w:t xml:space="preserve">, </w:t>
            </w:r>
            <w:r>
              <w:rPr>
                <w:i/>
                <w:sz w:val="17"/>
              </w:rPr>
              <w:t>qarʿiyya</w:t>
            </w:r>
            <w:r>
              <w:rPr>
                <w:sz w:val="17"/>
              </w:rPr>
              <w:t xml:space="preserve">, </w:t>
            </w:r>
            <w:r>
              <w:rPr>
                <w:i/>
                <w:sz w:val="17"/>
              </w:rPr>
              <w:t>ŷulaydiyya</w:t>
            </w:r>
            <w:r>
              <w:rPr>
                <w:sz w:val="17"/>
              </w:rPr>
              <w:t xml:space="preserve"> (</w:t>
            </w:r>
            <w:r>
              <w:rPr>
                <w:i/>
                <w:sz w:val="17"/>
              </w:rPr>
              <w:t>yulaydiyya</w:t>
            </w:r>
            <w:r>
              <w:rPr>
                <w:sz w:val="17"/>
              </w:rPr>
              <w:t xml:space="preserve">, </w:t>
            </w:r>
            <w:r>
              <w:rPr>
                <w:i/>
                <w:sz w:val="17"/>
              </w:rPr>
              <w:t>julaydiyya</w:t>
            </w:r>
            <w:r>
              <w:rPr>
                <w:sz w:val="17"/>
              </w:rPr>
              <w:t xml:space="preserve">), </w:t>
            </w:r>
            <w:r>
              <w:rPr>
                <w:i/>
                <w:sz w:val="17"/>
              </w:rPr>
              <w:t>gassāniyya</w:t>
            </w:r>
            <w:r>
              <w:rPr>
                <w:sz w:val="17"/>
              </w:rPr>
              <w:t xml:space="preserve"> (</w:t>
            </w:r>
            <w:r>
              <w:rPr>
                <w:i/>
                <w:sz w:val="17"/>
              </w:rPr>
              <w:t>ghassaniyya</w:t>
            </w:r>
            <w:r>
              <w:rPr>
                <w:sz w:val="17"/>
              </w:rPr>
              <w:t xml:space="preserve">), </w:t>
            </w:r>
            <w:r>
              <w:rPr>
                <w:i/>
                <w:sz w:val="17"/>
              </w:rPr>
              <w:t>tafāyā</w:t>
            </w:r>
            <w:r>
              <w:rPr>
                <w:sz w:val="17"/>
              </w:rPr>
              <w:t xml:space="preserve">, </w:t>
            </w:r>
            <w:r>
              <w:rPr>
                <w:i/>
                <w:sz w:val="17"/>
              </w:rPr>
              <w:t>isfīdabāŷa</w:t>
            </w:r>
            <w:r>
              <w:rPr>
                <w:sz w:val="17"/>
              </w:rPr>
              <w:t xml:space="preserve">, </w:t>
            </w:r>
            <w:r>
              <w:rPr>
                <w:i/>
                <w:sz w:val="17"/>
              </w:rPr>
              <w:t>murrī</w:t>
            </w:r>
            <w:r>
              <w:rPr>
                <w:sz w:val="17"/>
              </w:rPr>
              <w:t xml:space="preserve">, </w:t>
            </w:r>
            <w:r>
              <w:rPr>
                <w:i/>
                <w:sz w:val="17"/>
              </w:rPr>
              <w:t>sapa</w:t>
            </w:r>
            <w:r>
              <w:rPr>
                <w:sz w:val="17"/>
              </w:rPr>
              <w:t xml:space="preserve">; </w:t>
            </w:r>
            <w:r>
              <w:rPr>
                <w:i/>
                <w:sz w:val="17"/>
              </w:rPr>
              <w:t>Ibn Razīn al-Tuŷībī</w:t>
            </w:r>
            <w:r>
              <w:rPr>
                <w:sz w:val="17"/>
              </w:rPr>
              <w:t xml:space="preserve">, </w:t>
            </w:r>
            <w:r>
              <w:rPr>
                <w:i/>
                <w:sz w:val="17"/>
              </w:rPr>
              <w:t>Fiḍālat al-Khiwān</w:t>
            </w:r>
            <w:r>
              <w:rPr>
                <w:sz w:val="17"/>
              </w:rPr>
              <w:t xml:space="preserve">; </w:t>
            </w:r>
            <w:r>
              <w:rPr>
                <w:i/>
                <w:sz w:val="17"/>
              </w:rPr>
              <w:t>Ibn Sayyār al-Warrāq</w:t>
            </w:r>
            <w:r>
              <w:rPr>
                <w:sz w:val="17"/>
              </w:rPr>
              <w:t xml:space="preserve">; </w:t>
            </w:r>
            <w:r>
              <w:rPr>
                <w:i/>
                <w:sz w:val="17"/>
              </w:rPr>
              <w:t>Ibn ʿAbdūn</w:t>
            </w:r>
            <w:r>
              <w:rPr>
                <w:sz w:val="17"/>
              </w:rPr>
              <w:t xml:space="preserve">, </w:t>
            </w:r>
            <w:r>
              <w:rPr>
                <w:i/>
                <w:sz w:val="17"/>
              </w:rPr>
              <w:t>al-Saqaṭī</w:t>
            </w:r>
            <w:r>
              <w:rPr>
                <w:sz w:val="17"/>
              </w:rPr>
              <w:t xml:space="preserve">, </w:t>
            </w:r>
            <w:r>
              <w:rPr>
                <w:i/>
                <w:sz w:val="17"/>
              </w:rPr>
              <w:t>muḥtasib</w:t>
            </w:r>
          </w:p>
        </w:tc>
      </w:tr>
    </w:tbl>
    <w:p/>
    <w:p>
      <w:r>
        <w:t xml:space="preserve">Nota sobre las variantes de transliteración: </w:t>
      </w:r>
      <w:r>
        <w:rPr>
          <w:i/>
        </w:rPr>
        <w:t>ŷ</w:t>
      </w:r>
      <w:r>
        <w:t xml:space="preserve"> equivale a </w:t>
      </w:r>
      <w:r>
        <w:rPr>
          <w:i/>
        </w:rPr>
        <w:t>ǧ</w:t>
      </w:r>
      <w:r>
        <w:t xml:space="preserve"> o </w:t>
      </w:r>
      <w:r>
        <w:rPr>
          <w:i/>
        </w:rPr>
        <w:t>j</w:t>
      </w:r>
      <w:r>
        <w:t xml:space="preserve">; </w:t>
      </w:r>
      <w:r>
        <w:rPr>
          <w:i/>
        </w:rPr>
        <w:t>ṭabīḵ</w:t>
      </w:r>
      <w:r>
        <w:t xml:space="preserve"> aparece como </w:t>
      </w:r>
      <w:r>
        <w:rPr>
          <w:i/>
        </w:rPr>
        <w:t>tabikh</w:t>
      </w:r>
      <w:r>
        <w:t xml:space="preserve"> o </w:t>
      </w:r>
      <w:r>
        <w:rPr>
          <w:i/>
        </w:rPr>
        <w:t>tabij</w:t>
      </w:r>
      <w:r>
        <w:t>; las bases con indexación anglosajona suelen plegar los diacríticos, de modo que conviene lanzar también las variantes sin signos.</w:t>
      </w:r>
    </w:p>
    <w:p>
      <w:pPr>
        <w:pStyle w:val="Heading3"/>
      </w:pPr>
      <w:r>
        <w:t>2.2 Ecuaciones de búsqueda por base</w:t>
      </w:r>
    </w:p>
    <w:p>
      <w:r>
        <w:t xml:space="preserve">La sintaxis es la estándar de cada plataforma, pero </w:t>
      </w:r>
      <w:r>
        <w:rPr>
          <w:b/>
        </w:rPr>
        <w:t>no la he probado</w:t>
      </w:r>
      <w:r>
        <w:t xml:space="preserve"> (sin acceso). Convendrá comprobar los operadores de proximidad y el truncamiento en cada interfaz. Para la </w:t>
      </w:r>
      <w:r>
        <w:rPr>
          <w:b/>
        </w:rPr>
        <w:t>búsqueda nuclear</w:t>
      </w:r>
      <w:r>
        <w:t xml:space="preserve"> (cuatro bloques A·B·C·D):</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rPr>
            </w:r>
            <w:r>
              <w:rPr>
                <w:b/>
                <w:sz w:val="17"/>
              </w:rPr>
              <w:t>Base</w:t>
            </w:r>
          </w:p>
        </w:tc>
        <w:tc>
          <w:tcPr>
            <w:tcW w:type="dxa" w:w="4986"/>
            <w:shd w:val="clear" w:color="auto" w:fill="D9E2F3"/>
          </w:tcPr>
          <w:p>
            <w:r>
              <w:rPr>
                <w:b/>
              </w:rPr>
            </w:r>
            <w:r>
              <w:rPr>
                <w:b/>
                <w:sz w:val="17"/>
              </w:rPr>
              <w:t>Ecuación</w:t>
            </w:r>
          </w:p>
        </w:tc>
      </w:tr>
      <w:tr>
        <w:tc>
          <w:tcPr>
            <w:tcW w:type="dxa" w:w="4986"/>
          </w:tcPr>
          <w:p>
            <w:r/>
            <w:r>
              <w:rPr>
                <w:b/>
                <w:sz w:val="17"/>
              </w:rPr>
              <w:t>Web of Science (Core Collection)</w:t>
            </w:r>
          </w:p>
        </w:tc>
        <w:tc>
          <w:tcPr>
            <w:tcW w:type="dxa" w:w="4986"/>
          </w:tcPr>
          <w:p>
            <w:r/>
            <w:r>
              <w:rPr>
                <w:rFonts w:ascii="Consolas" w:hAnsi="Consolas" w:eastAsia="Consolas"/>
                <w:sz w:val="15"/>
              </w:rPr>
              <w:t>TS=(("al-Andalus" OR Andalusi OR andalus* OR "Islamic Spain" OR "Islamic Iberia" OR "Hispano-Muslim" OR taifa*) AND (epigraph* OR epigraf* OR inscription* OR inscripci* OR "Arabic script" OR kufic OR cufic* OR calligraph* OR caligraf*) AND (cerami* OR ceram* OR pottery OR tableware OR vajilla OR lusterware OR "loza dorada" OR "cuerda seca" OR "verde y manganeso" OR zafa OR ataifor) AND (food* OR diet* OR alimentaci* OR culinary OR cuisine OR cocina OR gastronom* OR cookbook* OR recipe* OR receta* OR "organic residue*" OR archaeobotan* OR arqueobot* OR zooarchaeolog* OR zooarqueolog* OR banquet*))</w:t>
            </w:r>
          </w:p>
        </w:tc>
      </w:tr>
      <w:tr>
        <w:tc>
          <w:tcPr>
            <w:tcW w:type="dxa" w:w="4986"/>
          </w:tcPr>
          <w:p>
            <w:r/>
            <w:r>
              <w:rPr>
                <w:b/>
                <w:sz w:val="17"/>
              </w:rPr>
              <w:t>Scopus</w:t>
            </w:r>
          </w:p>
        </w:tc>
        <w:tc>
          <w:tcPr>
            <w:tcW w:type="dxa" w:w="4986"/>
          </w:tcPr>
          <w:p>
            <w:r/>
            <w:r>
              <w:rPr>
                <w:rFonts w:ascii="Consolas" w:hAnsi="Consolas" w:eastAsia="Consolas"/>
                <w:sz w:val="15"/>
              </w:rPr>
              <w:t>TITLE-ABS-KEY(("al-Andalus" OR andalusi OR andalus* OR "Islamic Spain" OR "Islamic Iberia" OR "Hispano-Muslim" OR taifa*) AND (epigraph* OR epigraf* OR inscription* OR inscripci* OR "Arabic script" OR kufic OR cufic* OR calligraph*) AND (cerami* OR ceram* OR pottery OR tableware OR vajilla OR lusterware OR "cuerda seca") AND (food* OR diet* OR alimentaci* OR culinary OR cuisine OR cocina OR cookbook* OR recipe* OR "organic residue*" OR archaeobotan* OR zooarchaeolog* OR banquet*))</w:t>
            </w:r>
          </w:p>
        </w:tc>
      </w:tr>
      <w:tr>
        <w:tc>
          <w:tcPr>
            <w:tcW w:type="dxa" w:w="4986"/>
          </w:tcPr>
          <w:p>
            <w:r/>
            <w:r>
              <w:rPr>
                <w:b/>
                <w:sz w:val="17"/>
              </w:rPr>
              <w:t>Dialnet</w:t>
            </w:r>
            <w:r>
              <w:rPr>
                <w:sz w:val="17"/>
              </w:rPr>
              <w:t xml:space="preserve"> (búsqueda avanzada en título, resumen y palabras clave)</w:t>
            </w:r>
          </w:p>
        </w:tc>
        <w:tc>
          <w:tcPr>
            <w:tcW w:type="dxa" w:w="4986"/>
          </w:tcPr>
          <w:p>
            <w:r/>
            <w:r>
              <w:rPr>
                <w:rFonts w:ascii="Consolas" w:hAnsi="Consolas" w:eastAsia="Consolas"/>
                <w:sz w:val="15"/>
              </w:rPr>
              <w:t>(andalusí OR "al-Andalus" OR taifa) AND (epigrafía OR epígrafes OR inscripciones OR cúfico) AND (cerámica OR vajilla OR zafa OR ataifor) AND (alimentación OR cocina OR recetario OR guiso OR banquete OR dieta)</w:t>
            </w:r>
            <w:r>
              <w:rPr>
                <w:sz w:val="17"/>
              </w:rPr>
              <w:t>. Repetir en una segunda pasada solo con los bloques A + B + C y en una tercera con A + C + D</w:t>
            </w:r>
          </w:p>
        </w:tc>
      </w:tr>
      <w:tr>
        <w:tc>
          <w:tcPr>
            <w:tcW w:type="dxa" w:w="4986"/>
          </w:tcPr>
          <w:p>
            <w:r/>
            <w:r>
              <w:rPr>
                <w:b/>
                <w:sz w:val="17"/>
              </w:rPr>
              <w:t>CSIC</w:t>
            </w:r>
            <w:r>
              <w:rPr>
                <w:sz w:val="17"/>
              </w:rPr>
              <w:t xml:space="preserve"> (ISOC y Digital.CSIC)</w:t>
            </w:r>
          </w:p>
        </w:tc>
        <w:tc>
          <w:tcPr>
            <w:tcW w:type="dxa" w:w="4986"/>
          </w:tcPr>
          <w:p>
            <w:r/>
            <w:r>
              <w:rPr>
                <w:rFonts w:ascii="Consolas" w:hAnsi="Consolas" w:eastAsia="Consolas"/>
                <w:sz w:val="15"/>
              </w:rPr>
              <w:t>andalusí AND (epigrafía OR inscripción) AND cerámica</w:t>
            </w:r>
            <w:r>
              <w:rPr>
                <w:sz w:val="17"/>
              </w:rPr>
              <w:t xml:space="preserve"> en una primera pasada, y </w:t>
            </w:r>
            <w:r>
              <w:rPr>
                <w:rFonts w:ascii="Consolas" w:hAnsi="Consolas" w:eastAsia="Consolas"/>
                <w:sz w:val="15"/>
              </w:rPr>
              <w:t>andalusí AND cerámica AND (alimentación OR cocina OR recetas)</w:t>
            </w:r>
            <w:r>
              <w:rPr>
                <w:sz w:val="17"/>
              </w:rPr>
              <w:t xml:space="preserve"> en una segunda. En francés: </w:t>
            </w:r>
            <w:r>
              <w:rPr>
                <w:rFonts w:ascii="Consolas" w:hAnsi="Consolas" w:eastAsia="Consolas"/>
                <w:sz w:val="15"/>
              </w:rPr>
              <w:t>(céramique OR vaisselle) AND (inscriptions arabes OR coufique) AND (al-Andalus OR "Espagne musulmane") AND (cuisine OR alimentation)</w:t>
            </w:r>
          </w:p>
        </w:tc>
      </w:tr>
    </w:tbl>
    <w:p/>
    <w:p>
      <w:r>
        <w:t xml:space="preserve">Como el artículo de las imágenes está en el </w:t>
      </w:r>
      <w:r>
        <w:rPr>
          <w:i/>
        </w:rPr>
        <w:t>Boletín de Arqueología Medieval</w:t>
      </w:r>
      <w:r>
        <w:t xml:space="preserve">, que según el índice MIAR figura en Dialnet e Index Islamicus, la </w:t>
      </w:r>
      <w:r>
        <w:rPr>
          <w:b/>
        </w:rPr>
        <w:t>pasada en Dialnet y la de Index Islamicus son imprescindibles</w:t>
      </w:r>
      <w:r>
        <w:t>. Es muy probable que WoS y Scopus no recuperen este tipo de literatura.</w:t>
      </w:r>
    </w:p>
    <w:p>
      <w:r>
        <w:rPr>
          <w:b/>
        </w:rPr>
        <w:t>Ecuaciones por clúster temático</w:t>
      </w:r>
      <w:r>
        <w:t xml:space="preserve"> (formato WoS; en Scopus, cambiar </w:t>
      </w:r>
      <w:r>
        <w:rPr>
          <w:rFonts w:ascii="Consolas" w:hAnsi="Consolas" w:eastAsia="Consolas"/>
        </w:rPr>
        <w:t>TS=</w:t>
      </w:r>
      <w:r>
        <w:t xml:space="preserve"> por </w:t>
      </w:r>
      <w:r>
        <w:rPr>
          <w:rFonts w:ascii="Consolas" w:hAnsi="Consolas" w:eastAsia="Consolas"/>
        </w:rPr>
        <w:t>TITLE-ABS-KEY</w:t>
      </w:r>
      <w:r>
        <w:t xml:space="preserve"> y prescindir de las comillas en </w:t>
      </w:r>
      <w:r>
        <w:rPr>
          <w:rFonts w:ascii="Consolas" w:hAnsi="Consolas" w:eastAsia="Consolas"/>
        </w:rPr>
        <w:t>*</w:t>
      </w:r>
      <w: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Clúster</w:t>
            </w:r>
          </w:p>
        </w:tc>
        <w:tc>
          <w:tcPr>
            <w:tcW w:type="dxa" w:w="3324"/>
            <w:shd w:val="clear" w:color="auto" w:fill="D9E2F3"/>
          </w:tcPr>
          <w:p>
            <w:r>
              <w:rPr>
                <w:b/>
              </w:rPr>
            </w:r>
            <w:r>
              <w:rPr>
                <w:b/>
                <w:sz w:val="17"/>
              </w:rPr>
              <w:t>Bloques</w:t>
            </w:r>
          </w:p>
        </w:tc>
        <w:tc>
          <w:tcPr>
            <w:tcW w:type="dxa" w:w="3324"/>
            <w:shd w:val="clear" w:color="auto" w:fill="D9E2F3"/>
          </w:tcPr>
          <w:p>
            <w:r>
              <w:rPr>
                <w:b/>
              </w:rPr>
            </w:r>
            <w:r>
              <w:rPr>
                <w:b/>
                <w:sz w:val="17"/>
              </w:rPr>
              <w:t>Ecuación abreviada</w:t>
            </w:r>
          </w:p>
        </w:tc>
      </w:tr>
      <w:tr>
        <w:tc>
          <w:tcPr>
            <w:tcW w:type="dxa" w:w="3324"/>
          </w:tcPr>
          <w:p>
            <w:r/>
            <w:r>
              <w:rPr>
                <w:b/>
                <w:sz w:val="17"/>
              </w:rPr>
              <w:t>C1 · Epigrafía en vajilla, banquete y prestigio</w:t>
            </w:r>
          </w:p>
        </w:tc>
        <w:tc>
          <w:tcPr>
            <w:tcW w:type="dxa" w:w="3324"/>
          </w:tcPr>
          <w:p>
            <w:r/>
            <w:r>
              <w:rPr>
                <w:sz w:val="17"/>
              </w:rPr>
              <w:t xml:space="preserve">A·B·C + </w:t>
            </w:r>
            <w:r>
              <w:rPr>
                <w:i/>
                <w:sz w:val="17"/>
              </w:rPr>
              <w:t>banquet\</w:t>
            </w:r>
            <w:r>
              <w:rPr>
                <w:i/>
                <w:sz w:val="17"/>
              </w:rPr>
              <w:t xml:space="preserve">, </w:t>
            </w:r>
            <w:r>
              <w:rPr>
                <w:sz w:val="17"/>
              </w:rPr>
              <w:t>prestig\*</w:t>
            </w:r>
            <w:r>
              <w:rPr>
                <w:i/>
                <w:sz w:val="17"/>
              </w:rPr>
              <w:t xml:space="preserve">, </w:t>
            </w:r>
            <w:r>
              <w:rPr>
                <w:sz w:val="17"/>
              </w:rPr>
              <w:t>luxury</w:t>
            </w:r>
            <w:r>
              <w:rPr>
                <w:i/>
                <w:sz w:val="17"/>
              </w:rPr>
              <w:t xml:space="preserve">, </w:t>
            </w:r>
            <w:r>
              <w:rPr>
                <w:sz w:val="17"/>
              </w:rPr>
              <w:t>lusterware*</w:t>
            </w:r>
          </w:p>
        </w:tc>
        <w:tc>
          <w:tcPr>
            <w:tcW w:type="dxa" w:w="3324"/>
          </w:tcPr>
          <w:p>
            <w:r/>
            <w:r>
              <w:rPr>
                <w:rFonts w:ascii="Consolas" w:hAnsi="Consolas" w:eastAsia="Consolas"/>
                <w:sz w:val="15"/>
              </w:rPr>
              <w:t>TS=(A AND B AND C AND (banquet* OR majlis OR prestig* OR luxury OR "loza dorada" OR lusterware OR tableware OR vajilla))</w:t>
            </w:r>
          </w:p>
        </w:tc>
      </w:tr>
      <w:tr>
        <w:tc>
          <w:tcPr>
            <w:tcW w:type="dxa" w:w="3324"/>
          </w:tcPr>
          <w:p>
            <w:r/>
            <w:r>
              <w:rPr>
                <w:b/>
                <w:sz w:val="17"/>
              </w:rPr>
              <w:t>C2 · Contenedores, sellos y mercancías</w:t>
            </w:r>
          </w:p>
        </w:tc>
        <w:tc>
          <w:tcPr>
            <w:tcW w:type="dxa" w:w="3324"/>
          </w:tcPr>
          <w:p>
            <w:r/>
            <w:r>
              <w:rPr>
                <w:sz w:val="17"/>
              </w:rPr>
              <w:t xml:space="preserve">A·C + </w:t>
            </w:r>
            <w:r>
              <w:rPr>
                <w:i/>
                <w:sz w:val="17"/>
              </w:rPr>
              <w:t>amphora</w:t>
            </w:r>
            <w:r>
              <w:rPr>
                <w:sz w:val="17"/>
              </w:rPr>
              <w:t xml:space="preserve">, </w:t>
            </w:r>
            <w:r>
              <w:rPr>
                <w:i/>
                <w:sz w:val="17"/>
              </w:rPr>
              <w:t>tinaja</w:t>
            </w:r>
            <w:r>
              <w:rPr>
                <w:sz w:val="17"/>
              </w:rPr>
              <w:t xml:space="preserve">, </w:t>
            </w:r>
            <w:r>
              <w:rPr>
                <w:i/>
                <w:sz w:val="17"/>
              </w:rPr>
              <w:t>stamp\</w:t>
            </w:r>
            <w:r>
              <w:rPr>
                <w:sz w:val="17"/>
              </w:rPr>
              <w:t>* + aceite, vino, azúcar, especias</w:t>
            </w:r>
          </w:p>
        </w:tc>
        <w:tc>
          <w:tcPr>
            <w:tcW w:type="dxa" w:w="3324"/>
          </w:tcPr>
          <w:p>
            <w:r/>
            <w:r>
              <w:rPr>
                <w:rFonts w:ascii="Consolas" w:hAnsi="Consolas" w:eastAsia="Consolas"/>
                <w:sz w:val="15"/>
              </w:rPr>
              <w:t>TS=(A AND C AND (tinaja* OR orza* OR amphora* OR "storage jar*" OR stamp* OR estampill*) AND ("olive oil" OR aceite OR wine OR vino OR sugar OR azúcar OR spice* OR especia*))</w:t>
            </w:r>
          </w:p>
        </w:tc>
      </w:tr>
      <w:tr>
        <w:tc>
          <w:tcPr>
            <w:tcW w:type="dxa" w:w="3324"/>
          </w:tcPr>
          <w:p>
            <w:r/>
            <w:r>
              <w:rPr>
                <w:b/>
                <w:sz w:val="17"/>
              </w:rPr>
              <w:t>C3 · Cruces arqueométricos</w:t>
            </w:r>
          </w:p>
        </w:tc>
        <w:tc>
          <w:tcPr>
            <w:tcW w:type="dxa" w:w="3324"/>
          </w:tcPr>
          <w:p>
            <w:r/>
            <w:r>
              <w:rPr>
                <w:sz w:val="17"/>
              </w:rPr>
              <w:t>A·C·D</w:t>
            </w:r>
          </w:p>
        </w:tc>
        <w:tc>
          <w:tcPr>
            <w:tcW w:type="dxa" w:w="3324"/>
          </w:tcPr>
          <w:p>
            <w:r/>
            <w:r>
              <w:rPr>
                <w:rFonts w:ascii="Consolas" w:hAnsi="Consolas" w:eastAsia="Consolas"/>
                <w:sz w:val="15"/>
              </w:rPr>
              <w:t>TS=(A AND (organic residue* OR lipid* OR "GC-MS" OR archaeobotan* OR zooarchaeolog* OR isotop* OR residuos) AND (C OR vessel* OR potter* OR cerám*))</w:t>
            </w:r>
          </w:p>
        </w:tc>
      </w:tr>
      <w:tr>
        <w:tc>
          <w:tcPr>
            <w:tcW w:type="dxa" w:w="3324"/>
          </w:tcPr>
          <w:p>
            <w:r/>
            <w:r>
              <w:rPr>
                <w:b/>
                <w:sz w:val="17"/>
              </w:rPr>
              <w:t>C4 · Textos culinarios e hisba</w:t>
            </w:r>
          </w:p>
        </w:tc>
        <w:tc>
          <w:tcPr>
            <w:tcW w:type="dxa" w:w="3324"/>
          </w:tcPr>
          <w:p>
            <w:r/>
            <w:r>
              <w:rPr>
                <w:sz w:val="17"/>
              </w:rPr>
              <w:t>A·E</w:t>
            </w:r>
          </w:p>
        </w:tc>
        <w:tc>
          <w:tcPr>
            <w:tcW w:type="dxa" w:w="3324"/>
          </w:tcPr>
          <w:p>
            <w:r/>
            <w:r>
              <w:rPr>
                <w:rFonts w:ascii="Consolas" w:hAnsi="Consolas" w:eastAsia="Consolas"/>
                <w:sz w:val="15"/>
              </w:rPr>
              <w:t>TS=(A AND (cookbook* OR recipe* OR "libro de cocina" OR recetario* OR "Ibn Razin" OR hisba OR ḥisba OR muhtasib OR "Ibn Abdun" OR saqati OR dietetic*))</w:t>
            </w:r>
          </w:p>
        </w:tc>
      </w:tr>
      <w:tr>
        <w:tc>
          <w:tcPr>
            <w:tcW w:type="dxa" w:w="3324"/>
          </w:tcPr>
          <w:p>
            <w:r/>
            <w:r>
              <w:rPr>
                <w:b/>
                <w:sz w:val="17"/>
              </w:rPr>
              <w:t>Puente C1–C4</w:t>
            </w:r>
          </w:p>
        </w:tc>
        <w:tc>
          <w:tcPr>
            <w:tcW w:type="dxa" w:w="3324"/>
          </w:tcPr>
          <w:p>
            <w:r/>
            <w:r>
              <w:rPr>
                <w:sz w:val="17"/>
              </w:rPr>
              <w:t>B·C·E</w:t>
            </w:r>
          </w:p>
        </w:tc>
        <w:tc>
          <w:tcPr>
            <w:tcW w:type="dxa" w:w="3324"/>
          </w:tcPr>
          <w:p>
            <w:r/>
            <w:r>
              <w:rPr>
                <w:rFonts w:ascii="Consolas" w:hAnsi="Consolas" w:eastAsia="Consolas"/>
                <w:sz w:val="15"/>
              </w:rPr>
              <w:t>TS=((kul OR "¡come" OR "kul baqliyya" OR "kul qar*" OR "kul yulaydiyya" OR "kul gassaniyya") AND (cerami* OR zafa OR vajilla OR pottery))</w:t>
            </w:r>
          </w:p>
        </w:tc>
      </w:tr>
    </w:tbl>
    <w:p/>
    <w:p>
      <w:pPr>
        <w:pStyle w:val="Heading3"/>
      </w:pPr>
      <w:r>
        <w:t>2.3 Qué ejecuté realmente</w:t>
      </w:r>
    </w:p>
    <w:p>
      <w:r>
        <w:t xml:space="preserve">Lancé en OpenAlex diez búsquedas booleanas, una por cada combinación de bloques, más cinco búsquedas de contraste para verificar vacíos. Las cadenas exactas están en la hoja </w:t>
      </w:r>
      <w:r>
        <w:rPr>
          <w:rFonts w:ascii="Consolas" w:hAnsi="Consolas" w:eastAsia="Consolas"/>
        </w:rPr>
        <w:t>openalex_queries</w:t>
      </w:r>
      <w:r>
        <w:t xml:space="preserve"> del libro adjunto. OpenAlex busca en título, resumen y texto completo, de modo que las búsquedas devuelven muchísimo ruido. Recuperé </w:t>
      </w:r>
      <w:r>
        <w:rPr>
          <w:b/>
        </w:rPr>
        <w:t>3.052 registros únicos</w:t>
      </w:r>
      <w:r>
        <w:t xml:space="preserve"> y los cribé en dos pasos.</w:t>
      </w:r>
    </w:p>
    <w:p>
      <w:pPr>
        <w:ind w:left="510" w:hanging="340"/>
      </w:pPr>
      <w:r>
        <w:t xml:space="preserve">1. Un filtro </w:t>
      </w:r>
      <w:r>
        <w:rPr>
          <w:b/>
        </w:rPr>
        <w:t>geográfico</w:t>
      </w:r>
      <w:r>
        <w:t xml:space="preserve"> sobre título y palabras clave (</w:t>
      </w:r>
      <w:r>
        <w:rPr>
          <w:i/>
        </w:rPr>
        <w:t>al-Andalus</w:t>
      </w:r>
      <w:r>
        <w:t xml:space="preserve">, </w:t>
      </w:r>
      <w:r>
        <w:rPr>
          <w:i/>
        </w:rPr>
        <w:t>taifa</w:t>
      </w:r>
      <w:r>
        <w:t xml:space="preserve">, </w:t>
      </w:r>
      <w:r>
        <w:rPr>
          <w:i/>
        </w:rPr>
        <w:t>nazarí</w:t>
      </w:r>
      <w:r>
        <w:t xml:space="preserve">, </w:t>
      </w:r>
      <w:r>
        <w:rPr>
          <w:i/>
        </w:rPr>
        <w:t>almohade</w:t>
      </w:r>
      <w:r>
        <w:t>, etc.), ampliado a registros de temas ibéricos o de revistas especializadas cuando el título solo menciona una ciudad.</w:t>
      </w:r>
    </w:p>
    <w:p>
      <w:pPr>
        <w:ind w:left="510" w:hanging="340"/>
      </w:pPr>
      <w:r>
        <w:t xml:space="preserve">2. Un filtro </w:t>
      </w:r>
      <w:r>
        <w:rPr>
          <w:b/>
        </w:rPr>
        <w:t>temático</w:t>
      </w:r>
      <w:r>
        <w:t xml:space="preserve"> sobre título y palabras clave para asignar cada registro a uno o varios de cuatro clústeres, con exclusión manual de ruido evidente (psiquiatría, spam, otros ámbitos geográficos).</w:t>
      </w:r>
    </w:p>
    <w:p>
      <w:r>
        <w:t xml:space="preserve">Resultaron </w:t>
      </w:r>
      <w:r>
        <w:rPr>
          <w:b/>
        </w:rPr>
        <w:t>404 registros</w:t>
      </w:r>
      <w:r>
        <w:t xml:space="preserve"> en el corpus cribado (y 1.263 en el conjunto geográficamente filtrado que sirvió para la matriz de la Fig. 1a). En una primera versión el patrón de «epigrafía» capturaba también «manuscript» y falseaba la matriz; lo corregí y todos los recuentos de este informe son los posteriores a esa corrección. El cribado se hace sobre título y palabras clave, no sobre resumen. Revisé muestras de títulos de cada clúster. En C1 y C2 casi todo lo recuperado era pertinente; en C3 y C4 aparecía más ruido, que eliminé en gran parte con filtros de título, y estimo una precisión de en torno al 75–85 % en esos dos clústeres. </w:t>
      </w:r>
      <w:r>
        <w:rPr>
          <w:b/>
        </w:rPr>
        <w:t>Las cifras son órdenes de magnitud, no recuentos exactos.</w:t>
      </w:r>
    </w:p>
    <w:p>
      <w:pPr>
        <w:pStyle w:val="Heading3"/>
      </w:pPr>
      <w:r>
        <w:t>2.4 Mapa de clústeres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rPr>
            </w:r>
            <w:r>
              <w:rPr>
                <w:b/>
                <w:sz w:val="17"/>
              </w:rPr>
              <w:t>Clúster</w:t>
            </w:r>
          </w:p>
        </w:tc>
        <w:tc>
          <w:tcPr>
            <w:tcW w:type="dxa" w:w="1994"/>
            <w:shd w:val="clear" w:color="auto" w:fill="D9E2F3"/>
          </w:tcPr>
          <w:p>
            <w:r>
              <w:rPr>
                <w:b/>
              </w:rPr>
            </w:r>
            <w:r>
              <w:rPr>
                <w:b/>
                <w:sz w:val="17"/>
              </w:rPr>
              <w:t>Registros</w:t>
            </w:r>
          </w:p>
        </w:tc>
        <w:tc>
          <w:tcPr>
            <w:tcW w:type="dxa" w:w="1994"/>
            <w:shd w:val="clear" w:color="auto" w:fill="D9E2F3"/>
          </w:tcPr>
          <w:p>
            <w:r>
              <w:rPr>
                <w:b/>
              </w:rPr>
            </w:r>
            <w:r>
              <w:rPr>
                <w:b/>
                <w:sz w:val="17"/>
              </w:rPr>
              <w:t>Año mediano</w:t>
            </w:r>
          </w:p>
        </w:tc>
        <w:tc>
          <w:tcPr>
            <w:tcW w:type="dxa" w:w="1994"/>
            <w:shd w:val="clear" w:color="auto" w:fill="D9E2F3"/>
          </w:tcPr>
          <w:p>
            <w:r>
              <w:rPr>
                <w:b/>
              </w:rPr>
            </w:r>
            <w:r>
              <w:rPr>
                <w:b/>
                <w:sz w:val="17"/>
              </w:rPr>
              <w:t>% en español</w:t>
            </w:r>
          </w:p>
        </w:tc>
        <w:tc>
          <w:tcPr>
            <w:tcW w:type="dxa" w:w="1994"/>
            <w:shd w:val="clear" w:color="auto" w:fill="D9E2F3"/>
          </w:tcPr>
          <w:p>
            <w:r>
              <w:rPr>
                <w:b/>
              </w:rPr>
            </w:r>
            <w:r>
              <w:rPr>
                <w:b/>
                <w:sz w:val="17"/>
              </w:rPr>
              <w:t>Rasgo principal del conjunto</w:t>
            </w:r>
          </w:p>
        </w:tc>
      </w:tr>
      <w:tr>
        <w:tc>
          <w:tcPr>
            <w:tcW w:type="dxa" w:w="1994"/>
          </w:tcPr>
          <w:p>
            <w:r/>
            <w:r>
              <w:rPr>
                <w:b/>
                <w:sz w:val="17"/>
              </w:rPr>
              <w:t>C1 · Epigrafía y cerámica decorada</w:t>
            </w:r>
          </w:p>
        </w:tc>
        <w:tc>
          <w:tcPr>
            <w:tcW w:type="dxa" w:w="1994"/>
          </w:tcPr>
          <w:p>
            <w:r/>
            <w:r>
              <w:rPr>
                <w:sz w:val="17"/>
              </w:rPr>
              <w:t>64</w:t>
            </w:r>
          </w:p>
        </w:tc>
        <w:tc>
          <w:tcPr>
            <w:tcW w:type="dxa" w:w="1994"/>
          </w:tcPr>
          <w:p>
            <w:r/>
            <w:r>
              <w:rPr>
                <w:sz w:val="17"/>
              </w:rPr>
              <w:t>2019</w:t>
            </w:r>
          </w:p>
        </w:tc>
        <w:tc>
          <w:tcPr>
            <w:tcW w:type="dxa" w:w="1994"/>
          </w:tcPr>
          <w:p>
            <w:r/>
            <w:r>
              <w:rPr>
                <w:sz w:val="17"/>
              </w:rPr>
              <w:t>62 %</w:t>
            </w:r>
          </w:p>
        </w:tc>
        <w:tc>
          <w:tcPr>
            <w:tcW w:type="dxa" w:w="1994"/>
          </w:tcPr>
          <w:p>
            <w:r/>
            <w:r>
              <w:rPr>
                <w:sz w:val="17"/>
              </w:rPr>
              <w:t>Pequeño y reciente. Dominado por cerámica nazarí y almohade, epigrafía dorada y estudios regionales (València, Aragón, Murcia)</w:t>
            </w:r>
          </w:p>
        </w:tc>
      </w:tr>
      <w:tr>
        <w:tc>
          <w:tcPr>
            <w:tcW w:type="dxa" w:w="1994"/>
          </w:tcPr>
          <w:p>
            <w:r/>
            <w:r>
              <w:rPr>
                <w:b/>
                <w:sz w:val="17"/>
              </w:rPr>
              <w:t>C2 · Contenedores y mercancías</w:t>
            </w:r>
          </w:p>
        </w:tc>
        <w:tc>
          <w:tcPr>
            <w:tcW w:type="dxa" w:w="1994"/>
          </w:tcPr>
          <w:p>
            <w:r/>
            <w:r>
              <w:rPr>
                <w:sz w:val="17"/>
              </w:rPr>
              <w:t>48</w:t>
            </w:r>
          </w:p>
        </w:tc>
        <w:tc>
          <w:tcPr>
            <w:tcW w:type="dxa" w:w="1994"/>
          </w:tcPr>
          <w:p>
            <w:r/>
            <w:r>
              <w:rPr>
                <w:sz w:val="17"/>
              </w:rPr>
              <w:t>2016</w:t>
            </w:r>
          </w:p>
        </w:tc>
        <w:tc>
          <w:tcPr>
            <w:tcW w:type="dxa" w:w="1994"/>
          </w:tcPr>
          <w:p>
            <w:r/>
            <w:r>
              <w:rPr>
                <w:sz w:val="17"/>
              </w:rPr>
              <w:t>58 %</w:t>
            </w:r>
          </w:p>
        </w:tc>
        <w:tc>
          <w:tcPr>
            <w:tcW w:type="dxa" w:w="1994"/>
          </w:tcPr>
          <w:p>
            <w:r/>
            <w:r>
              <w:rPr>
                <w:sz w:val="17"/>
              </w:rPr>
              <w:t>Tinajas estampilladas almohades, circulación e importación; más tipología y comercio que contenido</w:t>
            </w:r>
          </w:p>
        </w:tc>
      </w:tr>
      <w:tr>
        <w:tc>
          <w:tcPr>
            <w:tcW w:type="dxa" w:w="1994"/>
          </w:tcPr>
          <w:p>
            <w:r/>
            <w:r>
              <w:rPr>
                <w:b/>
                <w:sz w:val="17"/>
              </w:rPr>
              <w:t>C3 · Arqueometría y bioarqueología</w:t>
            </w:r>
          </w:p>
        </w:tc>
        <w:tc>
          <w:tcPr>
            <w:tcW w:type="dxa" w:w="1994"/>
          </w:tcPr>
          <w:p>
            <w:r/>
            <w:r>
              <w:rPr>
                <w:sz w:val="17"/>
              </w:rPr>
              <w:t>164</w:t>
            </w:r>
          </w:p>
        </w:tc>
        <w:tc>
          <w:tcPr>
            <w:tcW w:type="dxa" w:w="1994"/>
          </w:tcPr>
          <w:p>
            <w:r/>
            <w:r>
              <w:rPr>
                <w:sz w:val="17"/>
              </w:rPr>
              <w:t>2019</w:t>
            </w:r>
          </w:p>
        </w:tc>
        <w:tc>
          <w:tcPr>
            <w:tcW w:type="dxa" w:w="1994"/>
          </w:tcPr>
          <w:p>
            <w:r/>
            <w:r>
              <w:rPr>
                <w:sz w:val="17"/>
              </w:rPr>
              <w:t>37 %</w:t>
            </w:r>
          </w:p>
        </w:tc>
        <w:tc>
          <w:tcPr>
            <w:tcW w:type="dxa" w:w="1994"/>
          </w:tcPr>
          <w:p>
            <w:r/>
            <w:r>
              <w:rPr>
                <w:sz w:val="17"/>
              </w:rPr>
              <w:t>107 registros de bioarqueología con marco andalusí (zooarqueología, arqueobotánica, isótopos) y 57 de ORA o arqueometría de otros ámbitos (sobre todo prehistoria ibérica y Europa medieval), no de al-Andalus</w:t>
            </w:r>
          </w:p>
        </w:tc>
      </w:tr>
      <w:tr>
        <w:tc>
          <w:tcPr>
            <w:tcW w:type="dxa" w:w="1994"/>
          </w:tcPr>
          <w:p>
            <w:r/>
            <w:r>
              <w:rPr>
                <w:b/>
                <w:sz w:val="17"/>
              </w:rPr>
              <w:t>C4 · Textos de cocina, dietética y hisba</w:t>
            </w:r>
          </w:p>
        </w:tc>
        <w:tc>
          <w:tcPr>
            <w:tcW w:type="dxa" w:w="1994"/>
          </w:tcPr>
          <w:p>
            <w:r/>
            <w:r>
              <w:rPr>
                <w:sz w:val="17"/>
              </w:rPr>
              <w:t>214</w:t>
            </w:r>
          </w:p>
        </w:tc>
        <w:tc>
          <w:tcPr>
            <w:tcW w:type="dxa" w:w="1994"/>
          </w:tcPr>
          <w:p>
            <w:r/>
            <w:r>
              <w:rPr>
                <w:sz w:val="17"/>
              </w:rPr>
              <w:t>2013</w:t>
            </w:r>
          </w:p>
        </w:tc>
        <w:tc>
          <w:tcPr>
            <w:tcW w:type="dxa" w:w="1994"/>
          </w:tcPr>
          <w:p>
            <w:r/>
            <w:r>
              <w:rPr>
                <w:sz w:val="17"/>
              </w:rPr>
              <w:t>51 %</w:t>
            </w:r>
          </w:p>
        </w:tc>
        <w:tc>
          <w:tcPr>
            <w:tcW w:type="dxa" w:w="1994"/>
          </w:tcPr>
          <w:p>
            <w:r/>
            <w:r>
              <w:rPr>
                <w:sz w:val="17"/>
              </w:rPr>
              <w:t>El más grande y antiguo. Historia de la alimentación, recetarios, dietética médica, tratados de hisba</w:t>
            </w:r>
          </w:p>
        </w:tc>
      </w:tr>
    </w:tbl>
    <w:p/>
    <w:p>
      <w:r>
        <w:t xml:space="preserve">Los clústeres se solapan por construcción (por ejemplo, 66 registros están a la vez en C3 y C4, porque comparten vocabulario alimentario). La información relevante está en lo que </w:t>
      </w:r>
      <w:r>
        <w:rPr>
          <w:b/>
        </w:rPr>
        <w:t>no</w:t>
      </w:r>
      <w:r>
        <w:t xml:space="preserve"> se solapa.</w:t>
      </w:r>
    </w:p>
    <w:p>
      <w:pPr>
        <w:jc w:val="center"/>
      </w:pPr>
      <w:r>
        <w:drawing>
          <wp:inline xmlns:a="http://schemas.openxmlformats.org/drawingml/2006/main" xmlns:pic="http://schemas.openxmlformats.org/drawingml/2006/picture">
            <wp:extent cx="5940000" cy="2914337"/>
            <wp:docPr id="1" name="Picture 1"/>
            <wp:cNvGraphicFramePr>
              <a:graphicFrameLocks noChangeAspect="1"/>
            </wp:cNvGraphicFramePr>
            <a:graphic>
              <a:graphicData uri="http://schemas.openxmlformats.org/drawingml/2006/picture">
                <pic:pic>
                  <pic:nvPicPr>
                    <pic:cNvPr id="0" name="fig1_clusters_overlap.png"/>
                    <pic:cNvPicPr/>
                  </pic:nvPicPr>
                  <pic:blipFill>
                    <a:blip r:embed="rId9"/>
                    <a:stretch>
                      <a:fillRect/>
                    </a:stretch>
                  </pic:blipFill>
                  <pic:spPr>
                    <a:xfrm>
                      <a:off x="0" y="0"/>
                      <a:ext cx="5940000" cy="2914337"/>
                    </a:xfrm>
                    <a:prstGeom prst="rect"/>
                  </pic:spPr>
                </pic:pic>
              </a:graphicData>
            </a:graphic>
          </wp:inline>
        </w:drawing>
      </w:r>
    </w:p>
    <w:p>
      <w:r>
        <w:rPr>
          <w:b/>
        </w:rPr>
        <w:t>Figura 1.</w:t>
      </w:r>
      <w:r>
        <w:t xml:space="preserve"> (a) Número de registros de OpenAlex en cada par de temas, sobre 1.263 registros de al-Andalus cribados por título y palabras clave. La epigrafía aparece en 70 registros, de los cuales 19 tratan de cerámica (una decena son estudios genuinos), 2 de alimentación, 2 de zooarqueología o isótopos y 2 de residuos o arqueometría; en estos tres últimos pares las coincidencias son léxicas o de un único estudio (sección 2.5). Los tres temas epigrafía, cerámica y alimentación nunca coinciden en estos datos. (b) Registros por década; la de 2020 es parcial (hasta 2026).</w:t>
      </w:r>
    </w:p>
    <w:p>
      <w:pPr>
        <w:jc w:val="center"/>
      </w:pPr>
      <w:r>
        <w:drawing>
          <wp:inline xmlns:a="http://schemas.openxmlformats.org/drawingml/2006/main" xmlns:pic="http://schemas.openxmlformats.org/drawingml/2006/picture">
            <wp:extent cx="5940000" cy="3747411"/>
            <wp:docPr id="2" name="Picture 2"/>
            <wp:cNvGraphicFramePr>
              <a:graphicFrameLocks noChangeAspect="1"/>
            </wp:cNvGraphicFramePr>
            <a:graphic>
              <a:graphicData uri="http://schemas.openxmlformats.org/drawingml/2006/picture">
                <pic:pic>
                  <pic:nvPicPr>
                    <pic:cNvPr id="0" name="fig2_cluster_keywords.png"/>
                    <pic:cNvPicPr/>
                  </pic:nvPicPr>
                  <pic:blipFill>
                    <a:blip r:embed="rId10"/>
                    <a:stretch>
                      <a:fillRect/>
                    </a:stretch>
                  </pic:blipFill>
                  <pic:spPr>
                    <a:xfrm>
                      <a:off x="0" y="0"/>
                      <a:ext cx="5940000" cy="3747411"/>
                    </a:xfrm>
                    <a:prstGeom prst="rect"/>
                  </pic:spPr>
                </pic:pic>
              </a:graphicData>
            </a:graphic>
          </wp:inline>
        </w:drawing>
      </w:r>
    </w:p>
    <w:p>
      <w:r>
        <w:rPr>
          <w:b/>
        </w:rPr>
        <w:t>Figura 2.</w:t>
      </w:r>
      <w:r>
        <w:t xml:space="preserve"> Palabras clave de OpenAlex más frecuentes en cada clúster, sin los términos geográficos genéricos. Los 15 términos más frecuentes de C1 no comparten ninguno con los de C3 o C4. «Arabic inscriptions» aparece en 9 registros de C1, en 1 de C2 y en ninguno de C3 ni C4.</w:t>
      </w:r>
    </w:p>
    <w:p>
      <w:pPr>
        <w:pStyle w:val="Heading3"/>
      </w:pPr>
      <w:r>
        <w:t>2.5 Hallazgos de la bibliometría sobre la intersección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Intersección</w:t>
            </w:r>
          </w:p>
        </w:tc>
        <w:tc>
          <w:tcPr>
            <w:tcW w:type="dxa" w:w="3324"/>
            <w:shd w:val="clear" w:color="auto" w:fill="D9E2F3"/>
          </w:tcPr>
          <w:p>
            <w:r>
              <w:rPr>
                <w:b/>
              </w:rPr>
            </w:r>
            <w:r>
              <w:rPr>
                <w:b/>
                <w:sz w:val="17"/>
              </w:rPr>
              <w:t>Registros en OpenAlex</w:t>
            </w:r>
          </w:p>
        </w:tc>
        <w:tc>
          <w:tcPr>
            <w:tcW w:type="dxa" w:w="3324"/>
            <w:shd w:val="clear" w:color="auto" w:fill="D9E2F3"/>
          </w:tcPr>
          <w:p>
            <w:r>
              <w:rPr>
                <w:b/>
              </w:rPr>
            </w:r>
            <w:r>
              <w:rPr>
                <w:b/>
                <w:sz w:val="17"/>
              </w:rPr>
              <w:t>Qué son</w:t>
            </w:r>
          </w:p>
        </w:tc>
      </w:tr>
      <w:tr>
        <w:tc>
          <w:tcPr>
            <w:tcW w:type="dxa" w:w="3324"/>
          </w:tcPr>
          <w:p>
            <w:r/>
            <w:r>
              <w:rPr>
                <w:sz w:val="17"/>
              </w:rPr>
              <w:t>Epigrafía × cerámica</w:t>
            </w:r>
          </w:p>
        </w:tc>
        <w:tc>
          <w:tcPr>
            <w:tcW w:type="dxa" w:w="3324"/>
          </w:tcPr>
          <w:p>
            <w:r/>
            <w:r>
              <w:rPr>
                <w:sz w:val="17"/>
              </w:rPr>
              <w:t>19</w:t>
            </w:r>
          </w:p>
        </w:tc>
        <w:tc>
          <w:tcPr>
            <w:tcW w:type="dxa" w:w="3324"/>
          </w:tcPr>
          <w:p>
            <w:r/>
            <w:r>
              <w:rPr>
                <w:sz w:val="17"/>
              </w:rPr>
              <w:t>Una decena son estudios genuinos de cerámica con epígrafes: Barceló y Heidenreich (2014); Barceló (2021, 2023); Franco-Sánchez y Constán-Nava (2016); Mendívil Uceda (2016); Acién (1979); Lerma (1985). El resto coincide por vocabulario (arquitectura, yeserías, plomos)</w:t>
            </w:r>
          </w:p>
        </w:tc>
      </w:tr>
      <w:tr>
        <w:tc>
          <w:tcPr>
            <w:tcW w:type="dxa" w:w="3324"/>
          </w:tcPr>
          <w:p>
            <w:r/>
            <w:r>
              <w:rPr>
                <w:sz w:val="17"/>
              </w:rPr>
              <w:t>Epigrafía × alimentación</w:t>
            </w:r>
          </w:p>
        </w:tc>
        <w:tc>
          <w:tcPr>
            <w:tcW w:type="dxa" w:w="3324"/>
          </w:tcPr>
          <w:p>
            <w:r/>
            <w:r>
              <w:rPr>
                <w:sz w:val="17"/>
              </w:rPr>
              <w:t>2</w:t>
            </w:r>
          </w:p>
        </w:tc>
        <w:tc>
          <w:tcPr>
            <w:tcW w:type="dxa" w:w="3324"/>
          </w:tcPr>
          <w:p>
            <w:r/>
            <w:r>
              <w:rPr>
                <w:sz w:val="17"/>
              </w:rPr>
              <w:t>Ninguno trata de vajilla: «Hisba y yihad en época almohade: el testimonio epigráfico» (2015) y un texto de homenaje a Carmen Barceló (2026)</w:t>
            </w:r>
          </w:p>
        </w:tc>
      </w:tr>
      <w:tr>
        <w:tc>
          <w:tcPr>
            <w:tcW w:type="dxa" w:w="3324"/>
          </w:tcPr>
          <w:p>
            <w:r/>
            <w:r>
              <w:rPr>
                <w:sz w:val="17"/>
              </w:rPr>
              <w:t>Epigrafía × fauna o botánica</w:t>
            </w:r>
          </w:p>
        </w:tc>
        <w:tc>
          <w:tcPr>
            <w:tcW w:type="dxa" w:w="3324"/>
          </w:tcPr>
          <w:p>
            <w:r/>
            <w:r>
              <w:rPr>
                <w:sz w:val="17"/>
              </w:rPr>
              <w:t>2</w:t>
            </w:r>
          </w:p>
        </w:tc>
        <w:tc>
          <w:tcPr>
            <w:tcW w:type="dxa" w:w="3324"/>
          </w:tcPr>
          <w:p>
            <w:r/>
            <w:r>
              <w:rPr>
                <w:sz w:val="17"/>
              </w:rPr>
              <w:t>Azuar (1989), rábita de Guardamar («cerámica, epigrafía, fauna, malacofauna»), un informe de excavación; Blasco Martín y Barceló (2023), escápulas escritas</w:t>
            </w:r>
          </w:p>
        </w:tc>
      </w:tr>
      <w:tr>
        <w:tc>
          <w:tcPr>
            <w:tcW w:type="dxa" w:w="3324"/>
          </w:tcPr>
          <w:p>
            <w:r/>
            <w:r>
              <w:rPr>
                <w:b/>
                <w:sz w:val="17"/>
              </w:rPr>
              <w:t>Epigrafía × cerámica × alimentación</w:t>
            </w:r>
          </w:p>
        </w:tc>
        <w:tc>
          <w:tcPr>
            <w:tcW w:type="dxa" w:w="3324"/>
          </w:tcPr>
          <w:p>
            <w:r/>
            <w:r>
              <w:rPr>
                <w:b/>
                <w:sz w:val="17"/>
              </w:rPr>
              <w:t>0</w:t>
            </w:r>
          </w:p>
        </w:tc>
        <w:tc>
          <w:tcPr>
            <w:tcW w:type="dxa" w:w="3324"/>
          </w:tcPr>
          <w:p>
            <w:r/>
            <w:r>
              <w:rPr>
                <w:sz w:val="17"/>
              </w:rPr>
              <w:t>Ninguno en OpenAlex</w:t>
            </w:r>
          </w:p>
        </w:tc>
      </w:tr>
      <w:tr>
        <w:tc>
          <w:tcPr>
            <w:tcW w:type="dxa" w:w="3324"/>
          </w:tcPr>
          <w:p>
            <w:r/>
            <w:r>
              <w:rPr>
                <w:sz w:val="17"/>
              </w:rPr>
              <w:t>Epigrafía × residuos o arqueometría</w:t>
            </w:r>
          </w:p>
        </w:tc>
        <w:tc>
          <w:tcPr>
            <w:tcW w:type="dxa" w:w="3324"/>
          </w:tcPr>
          <w:p>
            <w:r/>
            <w:r>
              <w:rPr>
                <w:sz w:val="17"/>
              </w:rPr>
              <w:t>0 genuinos</w:t>
            </w:r>
          </w:p>
        </w:tc>
        <w:tc>
          <w:tcPr>
            <w:tcW w:type="dxa" w:w="3324"/>
          </w:tcPr>
          <w:p>
            <w:r/>
            <w:r>
              <w:rPr>
                <w:sz w:val="17"/>
              </w:rPr>
              <w:t>Hay 2 coincidencias léxicas sin relación con vajilla</w:t>
            </w:r>
          </w:p>
        </w:tc>
      </w:tr>
      <w:tr>
        <w:tc>
          <w:tcPr>
            <w:tcW w:type="dxa" w:w="3324"/>
          </w:tcPr>
          <w:p>
            <w:r/>
            <w:r>
              <w:rPr>
                <w:sz w:val="17"/>
              </w:rPr>
              <w:t>Cerámica × cocina o alimentación</w:t>
            </w:r>
          </w:p>
        </w:tc>
        <w:tc>
          <w:tcPr>
            <w:tcW w:type="dxa" w:w="3324"/>
          </w:tcPr>
          <w:p>
            <w:r/>
            <w:r>
              <w:rPr>
                <w:sz w:val="17"/>
              </w:rPr>
              <w:t>29</w:t>
            </w:r>
          </w:p>
        </w:tc>
        <w:tc>
          <w:tcPr>
            <w:tcW w:type="dxa" w:w="3324"/>
          </w:tcPr>
          <w:p>
            <w:r/>
            <w:r>
              <w:rPr>
                <w:sz w:val="17"/>
              </w:rPr>
              <w:t>Marín (1996), Rosselló Bordoy (1996), Carvajal López y Day (2013), Carvajal López y Jiménez Puertas (2017), Hernández Pardos (2020)</w:t>
            </w:r>
          </w:p>
        </w:tc>
      </w:tr>
      <w:tr>
        <w:tc>
          <w:tcPr>
            <w:tcW w:type="dxa" w:w="3324"/>
          </w:tcPr>
          <w:p>
            <w:r/>
            <w:r>
              <w:rPr>
                <w:sz w:val="17"/>
              </w:rPr>
              <w:t>Hisba × cerámica</w:t>
            </w:r>
          </w:p>
        </w:tc>
        <w:tc>
          <w:tcPr>
            <w:tcW w:type="dxa" w:w="3324"/>
          </w:tcPr>
          <w:p>
            <w:r/>
            <w:r>
              <w:rPr>
                <w:sz w:val="17"/>
              </w:rPr>
              <w:t>0</w:t>
            </w:r>
          </w:p>
        </w:tc>
        <w:tc>
          <w:tcPr>
            <w:tcW w:type="dxa" w:w="3324"/>
          </w:tcPr>
          <w:p>
            <w:r/>
            <w:r>
              <w:rPr>
                <w:sz w:val="17"/>
              </w:rPr>
              <w:t>Los 34 registros con hisba tratan de mercado, oficios, moral pública y epigrafía almohade</w:t>
            </w:r>
          </w:p>
        </w:tc>
      </w:tr>
    </w:tbl>
    <w:p/>
    <w:p>
      <w:r>
        <w:t xml:space="preserve">El cero de la cuarta fila es un </w:t>
      </w:r>
      <w:r>
        <w:rPr>
          <w:b/>
        </w:rPr>
        <w:t>artefacto de cobertura en parte</w:t>
      </w:r>
      <w:r>
        <w:t xml:space="preserve">. El estudio que sí cruza los tres temas, el de las imágenes (Armengol y Barceló 2024), </w:t>
      </w:r>
      <w:r>
        <w:rPr>
          <w:b/>
        </w:rPr>
        <w:t>no está indexado por título en OpenAlex</w:t>
      </w:r>
      <w:r>
        <w:t>. Esto indica que el hueco real es menor de lo que muestra el recuento, y que el cruce se está haciendo en revistas de circulación local (</w:t>
      </w:r>
      <w:r>
        <w:rPr>
          <w:i/>
        </w:rPr>
        <w:t>Boletín de Arqueología Medieval</w:t>
      </w:r>
      <w:r>
        <w:t xml:space="preserve">, </w:t>
      </w:r>
      <w:r>
        <w:rPr>
          <w:i/>
        </w:rPr>
        <w:t>Arqueología y Territorio Medieval</w:t>
      </w:r>
      <w:r>
        <w:t xml:space="preserve">, </w:t>
      </w:r>
      <w:r>
        <w:rPr>
          <w:i/>
        </w:rPr>
        <w:t>Zephyrvs</w:t>
      </w:r>
      <w:r>
        <w:t>) que las bases internacionales cubren mal. También implica que una revisión sistemática solo en WoS o Scopus subestimaría este campo de forma sistemática.</w:t>
      </w:r>
    </w:p>
    <w:p>
      <w:pPr>
        <w:pStyle w:val="Heading3"/>
      </w:pPr>
      <w:r>
        <w:t>2.6 Autores, grupos e instituciones</w:t>
      </w:r>
    </w:p>
    <w:p>
      <w:r>
        <w:t>Recuentos sobre el corpus cribado de OpenAlex (número de registros en el clúster; la afiliación es la que OpenAlex asigna con más frecuencia al autor y puede estar desactualizada).</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Clúster</w:t>
            </w:r>
          </w:p>
        </w:tc>
        <w:tc>
          <w:tcPr>
            <w:tcW w:type="dxa" w:w="3324"/>
            <w:shd w:val="clear" w:color="auto" w:fill="D9E2F3"/>
          </w:tcPr>
          <w:p>
            <w:r>
              <w:rPr>
                <w:b/>
              </w:rPr>
            </w:r>
            <w:r>
              <w:rPr>
                <w:b/>
                <w:sz w:val="17"/>
              </w:rPr>
              <w:t>Autores con más registros</w:t>
            </w:r>
          </w:p>
        </w:tc>
        <w:tc>
          <w:tcPr>
            <w:tcW w:type="dxa" w:w="3324"/>
            <w:shd w:val="clear" w:color="auto" w:fill="D9E2F3"/>
          </w:tcPr>
          <w:p>
            <w:r>
              <w:rPr>
                <w:b/>
              </w:rPr>
            </w:r>
            <w:r>
              <w:rPr>
                <w:b/>
                <w:sz w:val="17"/>
              </w:rPr>
              <w:t>Instituciones frecuentes</w:t>
            </w:r>
          </w:p>
        </w:tc>
      </w:tr>
      <w:tr>
        <w:tc>
          <w:tcPr>
            <w:tcW w:type="dxa" w:w="3324"/>
          </w:tcPr>
          <w:p>
            <w:r/>
            <w:r>
              <w:rPr>
                <w:b/>
                <w:sz w:val="17"/>
              </w:rPr>
              <w:t>C1</w:t>
            </w:r>
          </w:p>
        </w:tc>
        <w:tc>
          <w:tcPr>
            <w:tcW w:type="dxa" w:w="3324"/>
          </w:tcPr>
          <w:p>
            <w:r/>
            <w:r>
              <w:rPr>
                <w:sz w:val="17"/>
              </w:rPr>
              <w:t>Elena Salinas (7; CSIC); Carmen Barceló (5; Universitat de València); Trinitat Pradell (5; UPC); Rafael Azuar Ruiz (5); Alberto García Porras (4; Granada); José C. Carvajal López (3; Leicester); Ana Labarta (3; Universitat de València); Aránzazu Mendívil Uceda (3; Zaragoza)</w:t>
            </w:r>
          </w:p>
        </w:tc>
        <w:tc>
          <w:tcPr>
            <w:tcW w:type="dxa" w:w="3324"/>
          </w:tcPr>
          <w:p>
            <w:r/>
            <w:r>
              <w:rPr>
                <w:sz w:val="17"/>
              </w:rPr>
              <w:t>UPC, CSIC, Granada, Escuela de Estudios Árabes, Zaragoza, Universitat de València</w:t>
            </w:r>
          </w:p>
        </w:tc>
      </w:tr>
      <w:tr>
        <w:tc>
          <w:tcPr>
            <w:tcW w:type="dxa" w:w="3324"/>
          </w:tcPr>
          <w:p>
            <w:r/>
            <w:r>
              <w:rPr>
                <w:b/>
                <w:sz w:val="17"/>
              </w:rPr>
              <w:t>C2</w:t>
            </w:r>
          </w:p>
        </w:tc>
        <w:tc>
          <w:tcPr>
            <w:tcW w:type="dxa" w:w="3324"/>
          </w:tcPr>
          <w:p>
            <w:r/>
            <w:r>
              <w:rPr>
                <w:sz w:val="17"/>
              </w:rPr>
              <w:t>Salinas (3); García Porras (3); Barceló (2); Heidenreich (2); Albero Santacreu y Ramos Benito (Illes Balears); Buxeda i Garrigós (Barcelona)</w:t>
            </w:r>
          </w:p>
        </w:tc>
        <w:tc>
          <w:tcPr>
            <w:tcW w:type="dxa" w:w="3324"/>
          </w:tcPr>
          <w:p>
            <w:r/>
            <w:r>
              <w:rPr>
                <w:sz w:val="17"/>
              </w:rPr>
              <w:t>Granada, Escuela de Estudios Árabes, CSIC, Barcelona, Illes Balears</w:t>
            </w:r>
          </w:p>
        </w:tc>
      </w:tr>
      <w:tr>
        <w:tc>
          <w:tcPr>
            <w:tcW w:type="dxa" w:w="3324"/>
          </w:tcPr>
          <w:p>
            <w:r/>
            <w:r>
              <w:rPr>
                <w:b/>
                <w:sz w:val="17"/>
              </w:rPr>
              <w:t>C3</w:t>
            </w:r>
          </w:p>
        </w:tc>
        <w:tc>
          <w:tcPr>
            <w:tcW w:type="dxa" w:w="3324"/>
          </w:tcPr>
          <w:p>
            <w:r/>
            <w:r>
              <w:rPr>
                <w:sz w:val="17"/>
              </w:rPr>
              <w:t>Marcos García García (13; Granada); Expiración García Sánchez (11; CSIC); Adrià Breu (6; UAB); Alessandra Pecci (6; Barcelona); Oliver Craig y Michelle Alexander (6 y 6; York); César Oliveira (6; Évora); Jérôme Ros (4)</w:t>
            </w:r>
          </w:p>
        </w:tc>
        <w:tc>
          <w:tcPr>
            <w:tcW w:type="dxa" w:w="3324"/>
          </w:tcPr>
          <w:p>
            <w:r/>
            <w:r>
              <w:rPr>
                <w:sz w:val="17"/>
              </w:rPr>
              <w:t>Granada, UAB, CSIC, CNRS, York, Évora</w:t>
            </w:r>
          </w:p>
        </w:tc>
      </w:tr>
      <w:tr>
        <w:tc>
          <w:tcPr>
            <w:tcW w:type="dxa" w:w="3324"/>
          </w:tcPr>
          <w:p>
            <w:r/>
            <w:r>
              <w:rPr>
                <w:b/>
                <w:sz w:val="17"/>
              </w:rPr>
              <w:t>C4</w:t>
            </w:r>
          </w:p>
        </w:tc>
        <w:tc>
          <w:tcPr>
            <w:tcW w:type="dxa" w:w="3324"/>
          </w:tcPr>
          <w:p>
            <w:r/>
            <w:r>
              <w:rPr>
                <w:sz w:val="17"/>
              </w:rPr>
              <w:t>Expiración García Sánchez (16; CSIC); Marianne Brisville (8; HALMA, Lille); Marcos García García (7); Manuela Marín (4); Pierre Guichard (4); Alejandro García Sanjuán (3; Huelva); Lucie Bolens (3; Ginebra); Nawal Nasrallah (3)</w:t>
            </w:r>
          </w:p>
        </w:tc>
        <w:tc>
          <w:tcPr>
            <w:tcW w:type="dxa" w:w="3324"/>
          </w:tcPr>
          <w:p>
            <w:r/>
            <w:r>
              <w:rPr>
                <w:sz w:val="17"/>
              </w:rPr>
              <w:t xml:space="preserve">Granada, HALMA, CSIC, Pablo de Olavide, </w:t>
            </w:r>
            <w:r>
              <w:rPr>
                <w:b/>
                <w:sz w:val="17"/>
              </w:rPr>
              <w:t>Universidad de Córdoba (6)</w:t>
            </w:r>
          </w:p>
        </w:tc>
      </w:tr>
    </w:tbl>
    <w:p/>
    <w:p>
      <w:r>
        <w:t>Observaciones.</w:t>
      </w:r>
    </w:p>
    <w:p>
      <w:pPr>
        <w:pStyle w:val="ListBullet"/>
      </w:pPr>
      <w:r>
        <w:rPr>
          <w:b/>
        </w:rPr>
        <w:t>Barceló–Labarta–Armengol (València)</w:t>
      </w:r>
      <w:r>
        <w:t xml:space="preserve"> son el núcleo del cruce que estudia este informe. Armengol firma como arqueóloga y es autora de </w:t>
      </w:r>
      <w:r>
        <w:rPr>
          <w:i/>
        </w:rPr>
        <w:t>L'argila de la mitja lluna: la ceràmica islàmica a la ciutat de València: 35 anys d'arqueologia urbana</w:t>
      </w:r>
      <w:r>
        <w:t xml:space="preserve"> (2018), que figura en OpenAlex. El artículo agradece al SIAM (Servicio de Investigación Arqueológica Municipal) las facilidades para estudiar las piezas, y la mayoría de los fragmentos llevan signaturas del SIAM. Barceló y Labarta publicaron en 2026 la guía </w:t>
      </w:r>
      <w:r>
        <w:rPr>
          <w:i/>
        </w:rPr>
        <w:t>Cerámica andalusí con epígrafes decorativos. Guía para aprender a leerlos</w:t>
      </w:r>
      <w:r>
        <w:t xml:space="preserve"> (conocida por una reseña indexada).</w:t>
      </w:r>
    </w:p>
    <w:p>
      <w:pPr>
        <w:pStyle w:val="ListBullet"/>
      </w:pPr>
      <w:r>
        <w:t xml:space="preserve">Los </w:t>
      </w:r>
      <w:r>
        <w:rPr>
          <w:b/>
        </w:rPr>
        <w:t>grupos de ORA</w:t>
      </w:r>
      <w:r>
        <w:t xml:space="preserve"> con capacidad real en la Península (Breu, UAB; Pecci, Barcelona, con Cau Ontiveros; Craig y Alexander, York) trabajan sobre todo con cerámica prehistórica y romana. Es un recurso metodológico ya presente y aún sin aplicar a la vajilla andalusí.</w:t>
      </w:r>
    </w:p>
    <w:p>
      <w:pPr>
        <w:pStyle w:val="ListBullet"/>
      </w:pPr>
      <w:r>
        <w:t xml:space="preserve">Según las afiliaciones de OpenAlex, el corpus incluye </w:t>
      </w:r>
      <w:r>
        <w:rPr>
          <w:b/>
        </w:rPr>
        <w:t>11 registros con filiación en la Universidad de Córdoba</w:t>
      </w:r>
      <w:r>
        <w:t xml:space="preserve">, entre ellos Vaquerizo Gil (2017) sobre alimentación andalusí a partir del registro arqueofaunístico y Riquelme Cantal </w:t>
      </w:r>
      <w:r>
        <w:rPr>
          <w:i/>
        </w:rPr>
        <w:t>et al.</w:t>
      </w:r>
      <w:r>
        <w:t xml:space="preserve"> (2022) sobre el dromedario en al-Andalus. Pueden ser interlocutores locales para cualquier propuesta de cruce.</w:t>
      </w:r>
    </w:p>
    <w:p>
      <w:pPr>
        <w:pStyle w:val="Heading3"/>
      </w:pPr>
      <w:r>
        <w:t>2.7 Obras seminales y de referencia</w:t>
      </w:r>
    </w:p>
    <w:p>
      <w:r>
        <w:t xml:space="preserve">Marcas: </w:t>
      </w:r>
      <w:r>
        <w:rPr>
          <w:b/>
        </w:rPr>
        <w:t>[V]</w:t>
      </w:r>
      <w:r>
        <w:t xml:space="preserve"> verificada en OpenAlex (título, año, DOI o identificador); </w:t>
      </w:r>
      <w:r>
        <w:rPr>
          <w:b/>
        </w:rPr>
        <w:t>[A]</w:t>
      </w:r>
      <w:r>
        <w:t xml:space="preserve"> figura en la bibliografía del artículo de las imágenes (pp. 53–56), que he leído en las fotografías; no la he consultado directamente.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sz w:val="17"/>
              </w:rPr>
              <w:t>Tema</w:t>
            </w:r>
          </w:p>
        </w:tc>
        <w:tc>
          <w:tcPr>
            <w:tcW w:type="dxa" w:w="3324"/>
            <w:shd w:val="clear" w:color="auto" w:fill="D9E2F3"/>
          </w:tcPr>
          <w:p>
            <w:r>
              <w:rPr>
                <w:b/>
              </w:rPr>
            </w:r>
            <w:r>
              <w:rPr>
                <w:b/>
                <w:sz w:val="17"/>
              </w:rPr>
              <w:t>Obra</w:t>
            </w:r>
          </w:p>
        </w:tc>
        <w:tc>
          <w:tcPr>
            <w:tcW w:type="dxa" w:w="3324"/>
            <w:shd w:val="clear" w:color="auto" w:fill="D9E2F3"/>
          </w:tcPr>
          <w:p>
            <w:r>
              <w:rPr>
                <w:b/>
              </w:rPr>
            </w:r>
            <w:r>
              <w:rPr>
                <w:b/>
                <w:sz w:val="17"/>
              </w:rPr>
              <w:t>Fuente</w:t>
            </w:r>
          </w:p>
        </w:tc>
      </w:tr>
      <w:tr>
        <w:tc>
          <w:tcPr>
            <w:tcW w:type="dxa" w:w="3324"/>
          </w:tcPr>
          <w:p>
            <w:r/>
            <w:r>
              <w:rPr>
                <w:sz w:val="17"/>
              </w:rPr>
              <w:t>Epigrafía en cerámica</w:t>
            </w:r>
          </w:p>
        </w:tc>
        <w:tc>
          <w:tcPr>
            <w:tcW w:type="dxa" w:w="3324"/>
          </w:tcPr>
          <w:p>
            <w:r/>
            <w:r>
              <w:rPr>
                <w:sz w:val="17"/>
              </w:rPr>
              <w:t xml:space="preserve">Barceló, C. y Heidenreich, A. (2014). «Lusterware Made in the Abbadid Taifa of Seville (Eleventh Century) and Its Early Production in the Mediterranean Region», </w:t>
            </w:r>
            <w:r>
              <w:rPr>
                <w:i/>
                <w:sz w:val="17"/>
              </w:rPr>
              <w:t>Muqarnas</w:t>
            </w:r>
            <w:r>
              <w:rPr>
                <w:sz w:val="17"/>
              </w:rPr>
              <w:t xml:space="preserve"> 31. DOI 10.1163/22118993-00311p10</w:t>
            </w:r>
          </w:p>
        </w:tc>
        <w:tc>
          <w:tcPr>
            <w:tcW w:type="dxa" w:w="3324"/>
          </w:tcPr>
          <w:p>
            <w:r/>
            <w:r>
              <w:rPr>
                <w:sz w:val="17"/>
              </w:rPr>
              <w:t>[V]</w:t>
            </w:r>
          </w:p>
        </w:tc>
      </w:tr>
      <w:tr>
        <w:tc>
          <w:tcPr>
            <w:tcW w:type="dxa" w:w="3324"/>
          </w:tcPr>
          <w:p>
            <w:r/>
            <w:r>
              <w:rPr>
                <w:sz w:val="17"/>
              </w:rPr>
              <w:t>Epigrafía en cerámica</w:t>
            </w:r>
          </w:p>
        </w:tc>
        <w:tc>
          <w:tcPr>
            <w:tcW w:type="dxa" w:w="3324"/>
          </w:tcPr>
          <w:p>
            <w:r/>
            <w:r>
              <w:rPr>
                <w:sz w:val="17"/>
              </w:rPr>
              <w:t xml:space="preserve">Barceló, C. (2023). «Loza dorada de la taifa de Sevilla. Novedades epigráficas», </w:t>
            </w:r>
            <w:r>
              <w:rPr>
                <w:i/>
                <w:sz w:val="17"/>
              </w:rPr>
              <w:t>Arqueología y Territorio Medieval</w:t>
            </w:r>
            <w:r>
              <w:rPr>
                <w:sz w:val="17"/>
              </w:rPr>
              <w:t xml:space="preserve"> 30. DOI 10.17561/aytm.v30.7081</w:t>
            </w:r>
          </w:p>
        </w:tc>
        <w:tc>
          <w:tcPr>
            <w:tcW w:type="dxa" w:w="3324"/>
          </w:tcPr>
          <w:p>
            <w:r/>
            <w:r>
              <w:rPr>
                <w:sz w:val="17"/>
              </w:rPr>
              <w:t>[V]</w:t>
            </w:r>
          </w:p>
        </w:tc>
      </w:tr>
      <w:tr>
        <w:tc>
          <w:tcPr>
            <w:tcW w:type="dxa" w:w="3324"/>
          </w:tcPr>
          <w:p>
            <w:r/>
            <w:r>
              <w:rPr>
                <w:sz w:val="17"/>
              </w:rPr>
              <w:t>Epigrafía en cerámica</w:t>
            </w:r>
          </w:p>
        </w:tc>
        <w:tc>
          <w:tcPr>
            <w:tcW w:type="dxa" w:w="3324"/>
          </w:tcPr>
          <w:p>
            <w:r/>
            <w:r>
              <w:rPr>
                <w:sz w:val="17"/>
              </w:rPr>
              <w:t xml:space="preserve">Barceló, C., Labarta, A., Benedito, J. y Melchor, J. M. (2021). «Cuatro cerámicas con epigrafía árabe del Museu de Borriana», </w:t>
            </w:r>
            <w:r>
              <w:rPr>
                <w:i/>
                <w:sz w:val="17"/>
              </w:rPr>
              <w:t>Espacio, Tiempo y Forma, III</w:t>
            </w:r>
            <w:r>
              <w:rPr>
                <w:sz w:val="17"/>
              </w:rPr>
              <w:t xml:space="preserve"> 34. DOI 10.5944/etfiii.34.2021.26385</w:t>
            </w:r>
          </w:p>
        </w:tc>
        <w:tc>
          <w:tcPr>
            <w:tcW w:type="dxa" w:w="3324"/>
          </w:tcPr>
          <w:p>
            <w:r/>
            <w:r>
              <w:rPr>
                <w:sz w:val="17"/>
              </w:rPr>
              <w:t>[V]</w:t>
            </w:r>
          </w:p>
        </w:tc>
      </w:tr>
      <w:tr>
        <w:tc>
          <w:tcPr>
            <w:tcW w:type="dxa" w:w="3324"/>
          </w:tcPr>
          <w:p>
            <w:r/>
            <w:r>
              <w:rPr>
                <w:sz w:val="17"/>
              </w:rPr>
              <w:t>Epigrafía y fauna</w:t>
            </w:r>
          </w:p>
        </w:tc>
        <w:tc>
          <w:tcPr>
            <w:tcW w:type="dxa" w:w="3324"/>
          </w:tcPr>
          <w:p>
            <w:r/>
            <w:r>
              <w:rPr>
                <w:sz w:val="17"/>
              </w:rPr>
              <w:t xml:space="preserve">Blasco Martín, M. y Barceló, C. (2023). «Letras trazadas en hueso. Alfabetos de la València islámica sobre escápulas de bóvidos», </w:t>
            </w:r>
            <w:r>
              <w:rPr>
                <w:i/>
                <w:sz w:val="17"/>
              </w:rPr>
              <w:t>Zephyrvs</w:t>
            </w:r>
            <w:r>
              <w:rPr>
                <w:sz w:val="17"/>
              </w:rPr>
              <w:t xml:space="preserve"> 92. DOI 10.14201/zephyrus202290237260</w:t>
            </w:r>
          </w:p>
        </w:tc>
        <w:tc>
          <w:tcPr>
            <w:tcW w:type="dxa" w:w="3324"/>
          </w:tcPr>
          <w:p>
            <w:r/>
            <w:r>
              <w:rPr>
                <w:sz w:val="17"/>
              </w:rPr>
              <w:t>[V]</w:t>
            </w:r>
          </w:p>
        </w:tc>
      </w:tr>
      <w:tr>
        <w:tc>
          <w:tcPr>
            <w:tcW w:type="dxa" w:w="3324"/>
          </w:tcPr>
          <w:p>
            <w:r/>
            <w:r>
              <w:rPr>
                <w:sz w:val="17"/>
              </w:rPr>
              <w:t>Epigrafía y paleografía</w:t>
            </w:r>
          </w:p>
        </w:tc>
        <w:tc>
          <w:tcPr>
            <w:tcW w:type="dxa" w:w="3324"/>
          </w:tcPr>
          <w:p>
            <w:r/>
            <w:r>
              <w:rPr>
                <w:sz w:val="17"/>
              </w:rPr>
              <w:t xml:space="preserve">Barceló, C. (1998). </w:t>
            </w:r>
            <w:r>
              <w:rPr>
                <w:i/>
                <w:sz w:val="17"/>
              </w:rPr>
              <w:t>La escritura árabe en el País Valenciano</w:t>
            </w:r>
            <w:r>
              <w:rPr>
                <w:sz w:val="17"/>
              </w:rPr>
              <w:t xml:space="preserve"> (Universitat de València)</w:t>
            </w:r>
          </w:p>
        </w:tc>
        <w:tc>
          <w:tcPr>
            <w:tcW w:type="dxa" w:w="3324"/>
          </w:tcPr>
          <w:p>
            <w:r/>
            <w:r>
              <w:rPr>
                <w:sz w:val="17"/>
              </w:rPr>
              <w:t>[A]</w:t>
            </w:r>
          </w:p>
        </w:tc>
      </w:tr>
      <w:tr>
        <w:tc>
          <w:tcPr>
            <w:tcW w:type="dxa" w:w="3324"/>
          </w:tcPr>
          <w:p>
            <w:r/>
            <w:r>
              <w:rPr>
                <w:sz w:val="17"/>
              </w:rPr>
              <w:t>Terminología</w:t>
            </w:r>
          </w:p>
        </w:tc>
        <w:tc>
          <w:tcPr>
            <w:tcW w:type="dxa" w:w="3324"/>
          </w:tcPr>
          <w:p>
            <w:r/>
            <w:r>
              <w:rPr>
                <w:sz w:val="17"/>
              </w:rPr>
              <w:t xml:space="preserve">Rosselló Bordoy, G. (1991). </w:t>
            </w:r>
            <w:r>
              <w:rPr>
                <w:i/>
                <w:sz w:val="17"/>
              </w:rPr>
              <w:t>El nombre de las cosas en al-Andalus: una propuesta de terminología cerámica</w:t>
            </w:r>
            <w:r>
              <w:rPr>
                <w:sz w:val="17"/>
              </w:rPr>
              <w:t xml:space="preserve">; Rosselló Bordoy (2000), </w:t>
            </w:r>
            <w:r>
              <w:rPr>
                <w:i/>
                <w:sz w:val="17"/>
              </w:rPr>
              <w:t>Escrito en el barro</w:t>
            </w:r>
          </w:p>
        </w:tc>
        <w:tc>
          <w:tcPr>
            <w:tcW w:type="dxa" w:w="3324"/>
          </w:tcPr>
          <w:p>
            <w:r/>
            <w:r>
              <w:rPr>
                <w:sz w:val="17"/>
              </w:rPr>
              <w:t>[A]</w:t>
            </w:r>
          </w:p>
        </w:tc>
      </w:tr>
      <w:tr>
        <w:tc>
          <w:tcPr>
            <w:tcW w:type="dxa" w:w="3324"/>
          </w:tcPr>
          <w:p>
            <w:r/>
            <w:r>
              <w:rPr>
                <w:sz w:val="17"/>
              </w:rPr>
              <w:t>Tecnología</w:t>
            </w:r>
          </w:p>
        </w:tc>
        <w:tc>
          <w:tcPr>
            <w:tcW w:type="dxa" w:w="3324"/>
          </w:tcPr>
          <w:p>
            <w:r/>
            <w:r>
              <w:rPr>
                <w:sz w:val="17"/>
              </w:rPr>
              <w:t xml:space="preserve">Salinas, E. y Pradell, T. (2018). «The transition from lead transparent to tin-opacified glaze productions in the western Islamic lands», </w:t>
            </w:r>
            <w:r>
              <w:rPr>
                <w:i/>
                <w:sz w:val="17"/>
              </w:rPr>
              <w:t>J. Archaeol. Sci.</w:t>
            </w:r>
            <w:r>
              <w:rPr>
                <w:sz w:val="17"/>
              </w:rPr>
              <w:t xml:space="preserve"> DOI 10.1016/j.jas.2018.03.010</w:t>
            </w:r>
          </w:p>
        </w:tc>
        <w:tc>
          <w:tcPr>
            <w:tcW w:type="dxa" w:w="3324"/>
          </w:tcPr>
          <w:p>
            <w:r/>
            <w:r>
              <w:rPr>
                <w:sz w:val="17"/>
              </w:rPr>
              <w:t>[V]</w:t>
            </w:r>
          </w:p>
        </w:tc>
      </w:tr>
      <w:tr>
        <w:tc>
          <w:tcPr>
            <w:tcW w:type="dxa" w:w="3324"/>
          </w:tcPr>
          <w:p>
            <w:r/>
            <w:r>
              <w:rPr>
                <w:sz w:val="17"/>
              </w:rPr>
              <w:t>Cerámica y cocina</w:t>
            </w:r>
          </w:p>
        </w:tc>
        <w:tc>
          <w:tcPr>
            <w:tcW w:type="dxa" w:w="3324"/>
          </w:tcPr>
          <w:p>
            <w:r/>
            <w:r>
              <w:rPr>
                <w:sz w:val="17"/>
              </w:rPr>
              <w:t>Marín, M. (1996). «Ollas y fuego: los procesos de cocción en los recetarios de al-Andalus y el Magreb»</w:t>
            </w:r>
          </w:p>
        </w:tc>
        <w:tc>
          <w:tcPr>
            <w:tcW w:type="dxa" w:w="3324"/>
          </w:tcPr>
          <w:p>
            <w:r/>
            <w:r>
              <w:rPr>
                <w:sz w:val="17"/>
              </w:rPr>
              <w:t>[V]</w:t>
            </w:r>
          </w:p>
        </w:tc>
      </w:tr>
      <w:tr>
        <w:tc>
          <w:tcPr>
            <w:tcW w:type="dxa" w:w="3324"/>
          </w:tcPr>
          <w:p>
            <w:r/>
            <w:r>
              <w:rPr>
                <w:sz w:val="17"/>
              </w:rPr>
              <w:t>Cerámica y cocina</w:t>
            </w:r>
          </w:p>
        </w:tc>
        <w:tc>
          <w:tcPr>
            <w:tcW w:type="dxa" w:w="3324"/>
          </w:tcPr>
          <w:p>
            <w:r/>
            <w:r>
              <w:rPr>
                <w:sz w:val="17"/>
              </w:rPr>
              <w:t xml:space="preserve">Carvajal López, J. C. y Day, P. M. (2013). «Cooking pots and Islamicization in the early medieval Vega of Granada», </w:t>
            </w:r>
            <w:r>
              <w:rPr>
                <w:i/>
                <w:sz w:val="17"/>
              </w:rPr>
              <w:t>Oxford J. Archaeol.</w:t>
            </w:r>
            <w:r>
              <w:rPr>
                <w:sz w:val="17"/>
              </w:rPr>
              <w:t xml:space="preserve"> DOI 10.1111/ojoa.12023; Carvajal López y Jiménez Puertas (2017), «Cuisine, islamisation and ceramics in the south and east of al-Andalus»</w:t>
            </w:r>
          </w:p>
        </w:tc>
        <w:tc>
          <w:tcPr>
            <w:tcW w:type="dxa" w:w="3324"/>
          </w:tcPr>
          <w:p>
            <w:r/>
            <w:r>
              <w:rPr>
                <w:sz w:val="17"/>
              </w:rPr>
              <w:t>[V]</w:t>
            </w:r>
          </w:p>
        </w:tc>
      </w:tr>
      <w:tr>
        <w:tc>
          <w:tcPr>
            <w:tcW w:type="dxa" w:w="3324"/>
          </w:tcPr>
          <w:p>
            <w:r/>
            <w:r>
              <w:rPr>
                <w:sz w:val="17"/>
              </w:rPr>
              <w:t>Dietética y alimentación</w:t>
            </w:r>
          </w:p>
        </w:tc>
        <w:tc>
          <w:tcPr>
            <w:tcW w:type="dxa" w:w="3324"/>
          </w:tcPr>
          <w:p>
            <w:r/>
            <w:r>
              <w:rPr>
                <w:sz w:val="17"/>
              </w:rPr>
              <w:t xml:space="preserve">Salas-Salvadó, J. </w:t>
            </w:r>
            <w:r>
              <w:rPr>
                <w:i/>
                <w:sz w:val="17"/>
              </w:rPr>
              <w:t>et al.</w:t>
            </w:r>
            <w:r>
              <w:rPr>
                <w:sz w:val="17"/>
              </w:rPr>
              <w:t xml:space="preserve"> (2006). «Diet and dietetics in al-Andalus», </w:t>
            </w:r>
            <w:r>
              <w:rPr>
                <w:i/>
                <w:sz w:val="17"/>
              </w:rPr>
              <w:t>Br. J. Nutr.</w:t>
            </w:r>
            <w:r>
              <w:rPr>
                <w:sz w:val="17"/>
              </w:rPr>
              <w:t xml:space="preserve"> DOI 10.1079/bjn20061710</w:t>
            </w:r>
          </w:p>
        </w:tc>
        <w:tc>
          <w:tcPr>
            <w:tcW w:type="dxa" w:w="3324"/>
          </w:tcPr>
          <w:p>
            <w:r/>
            <w:r>
              <w:rPr>
                <w:sz w:val="17"/>
              </w:rPr>
              <w:t>[V]</w:t>
            </w:r>
          </w:p>
        </w:tc>
      </w:tr>
      <w:tr>
        <w:tc>
          <w:tcPr>
            <w:tcW w:type="dxa" w:w="3324"/>
          </w:tcPr>
          <w:p>
            <w:r/>
            <w:r>
              <w:rPr>
                <w:sz w:val="17"/>
              </w:rPr>
              <w:t>Dieta y bioarqueología</w:t>
            </w:r>
          </w:p>
        </w:tc>
        <w:tc>
          <w:tcPr>
            <w:tcW w:type="dxa" w:w="3324"/>
          </w:tcPr>
          <w:p>
            <w:r/>
            <w:r>
              <w:rPr>
                <w:sz w:val="17"/>
              </w:rPr>
              <w:t xml:space="preserve">Inskip, S. A. </w:t>
            </w:r>
            <w:r>
              <w:rPr>
                <w:i/>
                <w:sz w:val="17"/>
              </w:rPr>
              <w:t>et al.</w:t>
            </w:r>
            <w:r>
              <w:rPr>
                <w:sz w:val="17"/>
              </w:rPr>
              <w:t xml:space="preserve"> (2018). «Diet and food strategies in a southern al-Andalusian urban environment during Caliphal period, Écija», </w:t>
            </w:r>
            <w:r>
              <w:rPr>
                <w:i/>
                <w:sz w:val="17"/>
              </w:rPr>
              <w:t>Archaeol. Anthropol. Sci.</w:t>
            </w:r>
            <w:r>
              <w:rPr>
                <w:sz w:val="17"/>
              </w:rPr>
              <w:t xml:space="preserve"> DOI 10.1007/s12520-018-0694-7; García García, M. (2023), «Pork consumption, gastro-politics and social Islamisation in early al-Andalus», </w:t>
            </w:r>
            <w:r>
              <w:rPr>
                <w:i/>
                <w:sz w:val="17"/>
              </w:rPr>
              <w:t>J. Medieval Iberian Stud.</w:t>
            </w:r>
            <w:r>
              <w:rPr>
                <w:sz w:val="17"/>
              </w:rPr>
              <w:t xml:space="preserve"> DOI 10.1080/17546559.2023.2204862</w:t>
            </w:r>
          </w:p>
        </w:tc>
        <w:tc>
          <w:tcPr>
            <w:tcW w:type="dxa" w:w="3324"/>
          </w:tcPr>
          <w:p>
            <w:r/>
            <w:r>
              <w:rPr>
                <w:sz w:val="17"/>
              </w:rPr>
              <w:t>[V]</w:t>
            </w:r>
          </w:p>
        </w:tc>
      </w:tr>
      <w:tr>
        <w:tc>
          <w:tcPr>
            <w:tcW w:type="dxa" w:w="3324"/>
          </w:tcPr>
          <w:p>
            <w:r/>
            <w:r>
              <w:rPr>
                <w:sz w:val="17"/>
              </w:rPr>
              <w:t>ORA islámico (comparación)</w:t>
            </w:r>
          </w:p>
        </w:tc>
        <w:tc>
          <w:tcPr>
            <w:tcW w:type="dxa" w:w="3324"/>
          </w:tcPr>
          <w:p>
            <w:r/>
            <w:r>
              <w:rPr>
                <w:sz w:val="17"/>
              </w:rPr>
              <w:t xml:space="preserve">Lundy, J. </w:t>
            </w:r>
            <w:r>
              <w:rPr>
                <w:i/>
                <w:sz w:val="17"/>
              </w:rPr>
              <w:t>et al.</w:t>
            </w:r>
            <w:r>
              <w:rPr>
                <w:sz w:val="17"/>
              </w:rPr>
              <w:t xml:space="preserve"> (2021). </w:t>
            </w:r>
            <w:r>
              <w:rPr>
                <w:i/>
                <w:sz w:val="17"/>
              </w:rPr>
              <w:t>PLoS ONE</w:t>
            </w:r>
            <w:r>
              <w:rPr>
                <w:sz w:val="17"/>
              </w:rPr>
              <w:t xml:space="preserve"> DOI 10.1371/journal.pone.0252225; Lundy </w:t>
            </w:r>
            <w:r>
              <w:rPr>
                <w:i/>
                <w:sz w:val="17"/>
              </w:rPr>
              <w:t>et al.</w:t>
            </w:r>
            <w:r>
              <w:rPr>
                <w:sz w:val="17"/>
              </w:rPr>
              <w:t xml:space="preserve"> (2023). </w:t>
            </w:r>
            <w:r>
              <w:rPr>
                <w:i/>
                <w:sz w:val="17"/>
              </w:rPr>
              <w:t>R. Soc. Open Sci.</w:t>
            </w:r>
            <w:r>
              <w:rPr>
                <w:sz w:val="17"/>
              </w:rPr>
              <w:t xml:space="preserve"> DOI 10.1098/rsos.221305 (ambos sobre Sicilia); Pecci, A. </w:t>
            </w:r>
            <w:r>
              <w:rPr>
                <w:i/>
                <w:sz w:val="17"/>
              </w:rPr>
              <w:t>et al.</w:t>
            </w:r>
            <w:r>
              <w:rPr>
                <w:sz w:val="17"/>
              </w:rPr>
              <w:t xml:space="preserve"> (2015). «Organic residue analysis of experimental, medieval, and post-medieval glazed ceramics», </w:t>
            </w:r>
            <w:r>
              <w:rPr>
                <w:i/>
                <w:sz w:val="17"/>
              </w:rPr>
              <w:t>Archaeol. Anthropol. Sci.</w:t>
            </w:r>
            <w:r>
              <w:rPr>
                <w:sz w:val="17"/>
              </w:rPr>
              <w:t xml:space="preserve"> DOI 10.1007/s12520-015-0262-3</w:t>
            </w:r>
          </w:p>
        </w:tc>
        <w:tc>
          <w:tcPr>
            <w:tcW w:type="dxa" w:w="3324"/>
          </w:tcPr>
          <w:p>
            <w:r/>
            <w:r>
              <w:rPr>
                <w:sz w:val="17"/>
              </w:rPr>
              <w:t>[V]</w:t>
            </w:r>
          </w:p>
        </w:tc>
      </w:tr>
      <w:tr>
        <w:tc>
          <w:tcPr>
            <w:tcW w:type="dxa" w:w="3324"/>
          </w:tcPr>
          <w:p>
            <w:r/>
            <w:r>
              <w:rPr>
                <w:sz w:val="17"/>
              </w:rPr>
              <w:t>Recetarios</w:t>
            </w:r>
          </w:p>
        </w:tc>
        <w:tc>
          <w:tcPr>
            <w:tcW w:type="dxa" w:w="3324"/>
          </w:tcPr>
          <w:p>
            <w:r/>
            <w:r>
              <w:rPr>
                <w:sz w:val="17"/>
              </w:rPr>
              <w:t xml:space="preserve">Huici Miranda, A. (1965, 1966). </w:t>
            </w:r>
            <w:r>
              <w:rPr>
                <w:i/>
                <w:sz w:val="17"/>
              </w:rPr>
              <w:t>La cocina hispano-magrebí durante la época almohade</w:t>
            </w:r>
            <w:r>
              <w:rPr>
                <w:sz w:val="17"/>
              </w:rPr>
              <w:t xml:space="preserve"> y su traducción; Ibn Razīn al-Tuŷībī, </w:t>
            </w:r>
            <w:r>
              <w:rPr>
                <w:i/>
                <w:sz w:val="17"/>
              </w:rPr>
              <w:t>Faḍālat al-jiwān</w:t>
            </w:r>
            <w:r>
              <w:rPr>
                <w:sz w:val="17"/>
              </w:rPr>
              <w:t xml:space="preserve"> (ed. Benchekroun 1981; trad. M. Marín, </w:t>
            </w:r>
            <w:r>
              <w:rPr>
                <w:i/>
                <w:sz w:val="17"/>
              </w:rPr>
              <w:t>Relieves de las mesas</w:t>
            </w:r>
            <w:r>
              <w:rPr>
                <w:sz w:val="17"/>
              </w:rPr>
              <w:t>, 2007); Ibn Sayyār al-Warrāq (ed. Öhrnberg y Mroueh 1987); al-Arbūlī (ed. Díaz García 2000)</w:t>
            </w:r>
          </w:p>
        </w:tc>
        <w:tc>
          <w:tcPr>
            <w:tcW w:type="dxa" w:w="3324"/>
          </w:tcPr>
          <w:p>
            <w:r/>
            <w:r>
              <w:rPr>
                <w:sz w:val="17"/>
              </w:rPr>
              <w:t>[A]</w:t>
            </w:r>
          </w:p>
        </w:tc>
      </w:tr>
      <w:tr>
        <w:tc>
          <w:tcPr>
            <w:tcW w:type="dxa" w:w="3324"/>
          </w:tcPr>
          <w:p>
            <w:r/>
            <w:r>
              <w:rPr>
                <w:sz w:val="17"/>
              </w:rPr>
              <w:t>Dietética médica</w:t>
            </w:r>
          </w:p>
        </w:tc>
        <w:tc>
          <w:tcPr>
            <w:tcW w:type="dxa" w:w="3324"/>
          </w:tcPr>
          <w:p>
            <w:r/>
            <w:r>
              <w:rPr>
                <w:sz w:val="17"/>
              </w:rPr>
              <w:t xml:space="preserve">Ibn al-Jaṭīb, </w:t>
            </w:r>
            <w:r>
              <w:rPr>
                <w:i/>
                <w:sz w:val="17"/>
              </w:rPr>
              <w:t>ʿAmal man ṭabba li-man ḥabba</w:t>
            </w:r>
            <w:r>
              <w:rPr>
                <w:sz w:val="17"/>
              </w:rPr>
              <w:t xml:space="preserve"> (ed. Vázquez de Benito 1972); Marín, M. (1994), «Aspectos médicos de la literatura culinaria árabe»</w:t>
            </w:r>
          </w:p>
        </w:tc>
        <w:tc>
          <w:tcPr>
            <w:tcW w:type="dxa" w:w="3324"/>
          </w:tcPr>
          <w:p>
            <w:r/>
            <w:r>
              <w:rPr>
                <w:sz w:val="17"/>
              </w:rPr>
              <w:t>[A] y [V]</w:t>
            </w:r>
          </w:p>
        </w:tc>
      </w:tr>
      <w:tr>
        <w:tc>
          <w:tcPr>
            <w:tcW w:type="dxa" w:w="3324"/>
          </w:tcPr>
          <w:p>
            <w:r/>
            <w:r>
              <w:rPr>
                <w:sz w:val="17"/>
              </w:rPr>
              <w:t>Nombres de platos</w:t>
            </w:r>
          </w:p>
        </w:tc>
        <w:tc>
          <w:tcPr>
            <w:tcW w:type="dxa" w:w="3324"/>
          </w:tcPr>
          <w:p>
            <w:r/>
            <w:r>
              <w:rPr>
                <w:sz w:val="17"/>
              </w:rPr>
              <w:t>Gelder, G. J. van (2005), «Edible fathers and mothers: Arabic kunyas used for foods»</w:t>
            </w:r>
          </w:p>
        </w:tc>
        <w:tc>
          <w:tcPr>
            <w:tcW w:type="dxa" w:w="3324"/>
          </w:tcPr>
          <w:p>
            <w:r/>
            <w:r>
              <w:rPr>
                <w:sz w:val="17"/>
              </w:rPr>
              <w:t>[A]</w:t>
            </w:r>
          </w:p>
        </w:tc>
      </w:tr>
    </w:tbl>
    <w:p/>
    <w:p>
      <w:pPr>
        <w:pStyle w:val="Heading3"/>
      </w:pPr>
      <w:r>
        <w:t>2.8 Vacíos historiográficos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sz w:val="17"/>
              </w:rPr>
              <w:t>N.º</w:t>
            </w:r>
          </w:p>
        </w:tc>
        <w:tc>
          <w:tcPr>
            <w:tcW w:type="dxa" w:w="2493"/>
            <w:shd w:val="clear" w:color="auto" w:fill="D9E2F3"/>
          </w:tcPr>
          <w:p>
            <w:r>
              <w:rPr>
                <w:b/>
              </w:rPr>
            </w:r>
            <w:r>
              <w:rPr>
                <w:b/>
                <w:sz w:val="17"/>
              </w:rPr>
              <w:t>Vacío</w:t>
            </w:r>
          </w:p>
        </w:tc>
        <w:tc>
          <w:tcPr>
            <w:tcW w:type="dxa" w:w="2493"/>
            <w:shd w:val="clear" w:color="auto" w:fill="D9E2F3"/>
          </w:tcPr>
          <w:p>
            <w:r>
              <w:rPr>
                <w:b/>
              </w:rPr>
            </w:r>
            <w:r>
              <w:rPr>
                <w:b/>
                <w:sz w:val="17"/>
              </w:rPr>
              <w:t>Evidencia en este trabajo</w:t>
            </w:r>
          </w:p>
        </w:tc>
        <w:tc>
          <w:tcPr>
            <w:tcW w:type="dxa" w:w="2493"/>
            <w:shd w:val="clear" w:color="auto" w:fill="D9E2F3"/>
          </w:tcPr>
          <w:p>
            <w:r>
              <w:rPr>
                <w:b/>
              </w:rPr>
            </w:r>
            <w:r>
              <w:rPr>
                <w:b/>
                <w:sz w:val="17"/>
              </w:rPr>
              <w:t>Qué haría falta</w:t>
            </w:r>
          </w:p>
        </w:tc>
      </w:tr>
      <w:tr>
        <w:tc>
          <w:tcPr>
            <w:tcW w:type="dxa" w:w="2493"/>
          </w:tcPr>
          <w:p>
            <w:r/>
            <w:r>
              <w:rPr>
                <w:sz w:val="17"/>
              </w:rPr>
              <w:t>1</w:t>
            </w:r>
          </w:p>
        </w:tc>
        <w:tc>
          <w:tcPr>
            <w:tcW w:type="dxa" w:w="2493"/>
          </w:tcPr>
          <w:p>
            <w:r/>
            <w:r>
              <w:rPr>
                <w:b/>
                <w:sz w:val="17"/>
              </w:rPr>
              <w:t>No hay ORA ni análisis de microrresiduos sobre vajilla epigráfica andalusí</w:t>
            </w:r>
          </w:p>
        </w:tc>
        <w:tc>
          <w:tcPr>
            <w:tcW w:type="dxa" w:w="2493"/>
          </w:tcPr>
          <w:p>
            <w:r/>
            <w:r>
              <w:rPr>
                <w:sz w:val="17"/>
              </w:rPr>
              <w:t>0 registros genuinos en el cruce epigrafía × residuos. Solo constan dos análisis de contenido en material andalusí (títulos verificados en OpenAlex, textos no leídos): un ataifor almohade (Cañabate Guerrero y Sánchez Vizcaíno, 1995) y un ungüentario de Albalat por GC-MS (Garnier y Gilotte, 2017)</w:t>
            </w:r>
          </w:p>
        </w:tc>
        <w:tc>
          <w:tcPr>
            <w:tcW w:type="dxa" w:w="2493"/>
          </w:tcPr>
          <w:p>
            <w:r/>
            <w:r>
              <w:rPr>
                <w:sz w:val="17"/>
              </w:rPr>
              <w:t>Muestreo emparejado de zafas «¡Come!» e inscritas frente a zafas sin inscripción de los mismos contextos</w:t>
            </w:r>
          </w:p>
        </w:tc>
      </w:tr>
      <w:tr>
        <w:tc>
          <w:tcPr>
            <w:tcW w:type="dxa" w:w="2493"/>
          </w:tcPr>
          <w:p>
            <w:r/>
            <w:r>
              <w:rPr>
                <w:sz w:val="17"/>
              </w:rPr>
              <w:t>2</w:t>
            </w:r>
          </w:p>
        </w:tc>
        <w:tc>
          <w:tcPr>
            <w:tcW w:type="dxa" w:w="2493"/>
          </w:tcPr>
          <w:p>
            <w:r/>
            <w:r>
              <w:rPr>
                <w:b/>
                <w:sz w:val="17"/>
              </w:rPr>
              <w:t>Los recetarios y las vasijas se cruzan casi solo para ollas</w:t>
            </w:r>
          </w:p>
        </w:tc>
        <w:tc>
          <w:tcPr>
            <w:tcW w:type="dxa" w:w="2493"/>
          </w:tcPr>
          <w:p>
            <w:r/>
            <w:r>
              <w:rPr>
                <w:sz w:val="17"/>
              </w:rPr>
              <w:t>Marín (1996), Carvajal López (2013, 2017), Hernández Pardos (2020) estudian cocción. Para la vajilla de mesa, el único cruce con textos que he visto es el artículo de las imágenes</w:t>
            </w:r>
          </w:p>
        </w:tc>
        <w:tc>
          <w:tcPr>
            <w:tcW w:type="dxa" w:w="2493"/>
          </w:tcPr>
          <w:p>
            <w:r/>
            <w:r>
              <w:rPr>
                <w:sz w:val="17"/>
              </w:rPr>
              <w:t>Extender la lectura de recetarios a servicio, porcionado y capacidad</w:t>
            </w:r>
          </w:p>
        </w:tc>
      </w:tr>
      <w:tr>
        <w:tc>
          <w:tcPr>
            <w:tcW w:type="dxa" w:w="2493"/>
          </w:tcPr>
          <w:p>
            <w:r/>
            <w:r>
              <w:rPr>
                <w:sz w:val="17"/>
              </w:rPr>
              <w:t>3</w:t>
            </w:r>
          </w:p>
        </w:tc>
        <w:tc>
          <w:tcPr>
            <w:tcW w:type="dxa" w:w="2493"/>
          </w:tcPr>
          <w:p>
            <w:r/>
            <w:r>
              <w:rPr>
                <w:b/>
                <w:sz w:val="17"/>
              </w:rPr>
              <w:t>La literatura de hisba no se ha puesto en relación con la cerámica</w:t>
            </w:r>
          </w:p>
        </w:tc>
        <w:tc>
          <w:tcPr>
            <w:tcW w:type="dxa" w:w="2493"/>
          </w:tcPr>
          <w:p>
            <w:r/>
            <w:r>
              <w:rPr>
                <w:sz w:val="17"/>
              </w:rPr>
              <w:t>0 registros hisba × cerámica entre 34 de hisba. Sí hay un cruce hisba × epigrafía (testimonio epigráfico almohade, 2015), pero no sobre vajilla</w:t>
            </w:r>
          </w:p>
        </w:tc>
        <w:tc>
          <w:tcPr>
            <w:tcW w:type="dxa" w:w="2493"/>
          </w:tcPr>
          <w:p>
            <w:r/>
            <w:r>
              <w:rPr>
                <w:sz w:val="17"/>
              </w:rPr>
              <w:t>Revisar los capítulos de alfareros, vendedores de comida y vajilla de al-Saqaṭī e Ibn ʿAbdūn (no figuran en la bibliografía del artículo fotografiado)</w:t>
            </w:r>
          </w:p>
        </w:tc>
      </w:tr>
      <w:tr>
        <w:tc>
          <w:tcPr>
            <w:tcW w:type="dxa" w:w="2493"/>
          </w:tcPr>
          <w:p>
            <w:r/>
            <w:r>
              <w:rPr>
                <w:sz w:val="17"/>
              </w:rPr>
              <w:t>4</w:t>
            </w:r>
          </w:p>
        </w:tc>
        <w:tc>
          <w:tcPr>
            <w:tcW w:type="dxa" w:w="2493"/>
          </w:tcPr>
          <w:p>
            <w:r/>
            <w:r>
              <w:rPr>
                <w:b/>
                <w:sz w:val="17"/>
              </w:rPr>
              <w:t>Las fuentes zooarqueológicas y arqueobotánicas no se cruzan con las series epigráficas</w:t>
            </w:r>
          </w:p>
        </w:tc>
        <w:tc>
          <w:tcPr>
            <w:tcW w:type="dxa" w:w="2493"/>
          </w:tcPr>
          <w:p>
            <w:r/>
            <w:r>
              <w:rPr>
                <w:sz w:val="17"/>
              </w:rPr>
              <w:t>Solo Azuar (1989) y Blasco Martín y Barceló (2023) conectan epigrafía y fauna; el segundo trata de escápulas escritas, no de comida</w:t>
            </w:r>
          </w:p>
        </w:tc>
        <w:tc>
          <w:tcPr>
            <w:tcW w:type="dxa" w:w="2493"/>
          </w:tcPr>
          <w:p>
            <w:r/>
            <w:r>
              <w:rPr>
                <w:sz w:val="17"/>
              </w:rPr>
              <w:t>Cotejar los contextos de las zafas con los conjuntos faunísticos y carpológicos de la misma procedencia (València, Dénia, Albarracín)</w:t>
            </w:r>
          </w:p>
        </w:tc>
      </w:tr>
      <w:tr>
        <w:tc>
          <w:tcPr>
            <w:tcW w:type="dxa" w:w="2493"/>
          </w:tcPr>
          <w:p>
            <w:r/>
            <w:r>
              <w:rPr>
                <w:sz w:val="17"/>
              </w:rPr>
              <w:t>5</w:t>
            </w:r>
          </w:p>
        </w:tc>
        <w:tc>
          <w:tcPr>
            <w:tcW w:type="dxa" w:w="2493"/>
          </w:tcPr>
          <w:p>
            <w:r/>
            <w:r>
              <w:rPr>
                <w:b/>
                <w:sz w:val="17"/>
              </w:rPr>
              <w:t>Sesgo de muestra</w:t>
            </w:r>
          </w:p>
        </w:tc>
        <w:tc>
          <w:tcPr>
            <w:tcW w:type="dxa" w:w="2493"/>
          </w:tcPr>
          <w:p>
            <w:r/>
            <w:r>
              <w:rPr>
                <w:sz w:val="17"/>
              </w:rPr>
              <w:t>Las piezas son fragmentos de fondos antiguos de museo y de excavaciones urbanas. Los autores reconocen que el número real puede ser mayor y que quedan por revisar almacenes</w:t>
            </w:r>
          </w:p>
        </w:tc>
        <w:tc>
          <w:tcPr>
            <w:tcW w:type="dxa" w:w="2493"/>
          </w:tcPr>
          <w:p>
            <w:r/>
            <w:r>
              <w:rPr>
                <w:sz w:val="17"/>
              </w:rPr>
              <w:t>Revisión sistemática de almacenes y contextos de procedencia</w:t>
            </w:r>
          </w:p>
        </w:tc>
      </w:tr>
      <w:tr>
        <w:tc>
          <w:tcPr>
            <w:tcW w:type="dxa" w:w="2493"/>
          </w:tcPr>
          <w:p>
            <w:r/>
            <w:r>
              <w:rPr>
                <w:sz w:val="17"/>
              </w:rPr>
              <w:t>6</w:t>
            </w:r>
          </w:p>
        </w:tc>
        <w:tc>
          <w:tcPr>
            <w:tcW w:type="dxa" w:w="2493"/>
          </w:tcPr>
          <w:p>
            <w:r/>
            <w:r>
              <w:rPr>
                <w:b/>
                <w:sz w:val="17"/>
              </w:rPr>
              <w:t>La cobertura bibliográfica distorsiona el estado de la cuestión</w:t>
            </w:r>
          </w:p>
        </w:tc>
        <w:tc>
          <w:tcPr>
            <w:tcW w:type="dxa" w:w="2493"/>
          </w:tcPr>
          <w:p>
            <w:r/>
            <w:r>
              <w:rPr>
                <w:sz w:val="17"/>
              </w:rPr>
              <w:t>El artículo clave no está indexado en OpenAlex y las revistas locales están mal cubiertas</w:t>
            </w:r>
          </w:p>
        </w:tc>
        <w:tc>
          <w:tcPr>
            <w:tcW w:type="dxa" w:w="2493"/>
          </w:tcPr>
          <w:p>
            <w:r/>
            <w:r>
              <w:rPr>
                <w:sz w:val="17"/>
              </w:rPr>
              <w:t>Búsquedas en Dialnet, Index Islamicus y Digital.CSIC antes de afirmar ausencias</w:t>
            </w:r>
          </w:p>
        </w:tc>
      </w:tr>
    </w:tbl>
    <w:p/>
    <w:p>
      <w:r>
        <w:rPr>
          <w:b/>
        </w:rPr>
        <w:t>Un diseño ORA razonable, como propuesta.</w:t>
      </w:r>
      <w:r>
        <w:t xml:space="preserve"> El barnizado interior de las zafas reduce la absorción de grasa, según los propios autores. Por eso convendría muestrear también base, pie y cara externa, y comparar con piezas no vidriadas del mismo contexto. Convendría leer antes Pecci </w:t>
      </w:r>
      <w:r>
        <w:rPr>
          <w:i/>
        </w:rPr>
        <w:t>et al.</w:t>
      </w:r>
      <w:r>
        <w:t xml:space="preserve"> (2015), que trata de la viabilidad de ORA en cerámica vidriada. Los biomarcadores esperables dependen de los ingredientes de las recetas (grasas de ovino, aceites vegetales, miel, almendras). No hay predicción segura sobre qué sobrevive en un vidriado estannífero del siglo XI tras siglos de enterramiento y de manipulación en museo.</w:t>
      </w:r>
    </w:p>
    <w:p>
      <w:pPr>
        <w:pStyle w:val="Heading2"/>
      </w:pPr>
      <w:r>
        <w:t>3. Fase 3 · Síntesis histórico-arqueológica</w:t>
      </w:r>
    </w:p>
    <w:p>
      <w:pPr>
        <w:pStyle w:val="Heading3"/>
      </w:pPr>
      <w:r>
        <w:t>3.1 Bendición, mandato e ingestión</w:t>
      </w:r>
    </w:p>
    <w:p>
      <w:r>
        <w:t xml:space="preserve">El texto de la serie «¡Come!» </w:t>
      </w:r>
      <w:r>
        <w:rPr>
          <w:b/>
        </w:rPr>
        <w:t>no bendice la comida: la ordena y la nombra</w:t>
      </w:r>
      <w:r>
        <w:t>. Esa diferencia con las fórmulas eulógicas es el rasgo central del conjunto.</w:t>
      </w:r>
    </w:p>
    <w:p>
      <w:pPr>
        <w:ind w:left="510" w:hanging="340"/>
      </w:pPr>
      <w:r>
        <w:t xml:space="preserve">1. </w:t>
      </w:r>
      <w:r>
        <w:rPr>
          <w:b/>
        </w:rPr>
        <w:t>Del deseo al mandato.</w:t>
      </w:r>
      <w:r>
        <w:t xml:space="preserve"> En la vajilla califal de verde y manganeso las palabras (</w:t>
      </w:r>
      <w:r>
        <w:rPr>
          <w:i/>
        </w:rPr>
        <w:t>mulk</w:t>
      </w:r>
      <w:r>
        <w:t xml:space="preserve">, </w:t>
      </w:r>
      <w:r>
        <w:rPr>
          <w:i/>
        </w:rPr>
        <w:t>baraka</w:t>
      </w:r>
      <w:r>
        <w:t xml:space="preserve">, </w:t>
      </w:r>
      <w:r>
        <w:rPr>
          <w:i/>
        </w:rPr>
        <w:t>yumn</w:t>
      </w:r>
      <w:r>
        <w:t xml:space="preserve">, </w:t>
      </w:r>
      <w:r>
        <w:rPr>
          <w:i/>
        </w:rPr>
        <w:t>ʿāfiya</w:t>
      </w:r>
      <w:r>
        <w:t>) desean un bien a quien usa la pieza. En la serie del siglo XI el centro del plato lleva un imperativo dirigido al comensal, con el nombre del guiso. El artículo abre con Corán 2, 168 («¡Hombres! ¡Comed de los alimentos lícitos y buenos!»), que une el comer con lo lícito y lo bueno.</w:t>
      </w:r>
    </w:p>
    <w:p>
      <w:pPr>
        <w:ind w:left="510" w:hanging="340"/>
      </w:pPr>
      <w:r>
        <w:t xml:space="preserve">2. </w:t>
      </w:r>
      <w:r>
        <w:rPr>
          <w:b/>
        </w:rPr>
        <w:t>Fórmulas de buen provecho y de confianza.</w:t>
      </w:r>
      <w:r>
        <w:t xml:space="preserve"> </w:t>
      </w:r>
      <w:r>
        <w:rPr>
          <w:i/>
        </w:rPr>
        <w:t>Kul hanī'an</w:t>
      </w:r>
      <w:r>
        <w:t xml:space="preserve"> («¡come, buen provecho!», alcazaba de Málaga) es lo más cercano a una bendición de la comida en estas láminas. </w:t>
      </w:r>
      <w:r>
        <w:rPr>
          <w:i/>
        </w:rPr>
        <w:t>Tawakkal tukfà</w:t>
      </w:r>
      <w:r>
        <w:t xml:space="preserve"> («¡confía, te bastará!») es una invocación de confianza. Los autores las separan de las cuatro series, y yo también. (Contexto, a verificar: la colocación </w:t>
      </w:r>
      <w:r>
        <w:rPr>
          <w:i/>
        </w:rPr>
        <w:t>kulū hanī'an marī'an</w:t>
      </w:r>
      <w:r>
        <w:t xml:space="preserve"> aparece en el Corán, 4, 4, lo que daría un fondo coránico a </w:t>
      </w:r>
      <w:r>
        <w:rPr>
          <w:i/>
        </w:rPr>
        <w:t>hanī'an</w:t>
      </w:r>
      <w:r>
        <w:t>.)</w:t>
      </w:r>
    </w:p>
    <w:p>
      <w:pPr>
        <w:ind w:left="510" w:hanging="340"/>
      </w:pPr>
      <w:r>
        <w:t xml:space="preserve">3. </w:t>
      </w:r>
      <w:r>
        <w:rPr>
          <w:b/>
        </w:rPr>
        <w:t>Comida y remedio se tocan por la dietética, no por la vasija.</w:t>
      </w:r>
      <w:r>
        <w:t xml:space="preserve"> En las fuentes que cita el artículo, el plato </w:t>
      </w:r>
      <w:r>
        <w:rPr>
          <w:i/>
        </w:rPr>
        <w:t>qarʿiyya</w:t>
      </w:r>
      <w:r>
        <w:t xml:space="preserve"> figura en la dietética médica: Ibn al-Jaṭīb (siglo XIV) lo aconseja a quien tiene mal la vejiga y a quien se recupera de la fiebre. La </w:t>
      </w:r>
      <w:r>
        <w:rPr>
          <w:i/>
        </w:rPr>
        <w:t>isfīdabāŷa</w:t>
      </w:r>
      <w:r>
        <w:t xml:space="preserve"> del apéndice se describe como un plato de moderado alimento, adecuado para los estómagos débiles y los convalecientes. La relación entre bendición y remedio pasa así por el guiso, y no por un recipiente medicinal. Las imágenes </w:t>
      </w:r>
      <w:r>
        <w:rPr>
          <w:b/>
        </w:rPr>
        <w:t>no muestran</w:t>
      </w:r>
      <w:r>
        <w:t xml:space="preserve"> redomas, orcitas ni tinajas, de modo que no puedo responder desde ellas a la pregunta sobre esas formas.</w:t>
      </w:r>
    </w:p>
    <w:p>
      <w:pPr>
        <w:pStyle w:val="Heading3"/>
      </w:pPr>
      <w:r>
        <w:t>3.2 Correlación entre vasija, epígrafe e ingredientes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rPr>
            </w:r>
            <w:r>
              <w:rPr>
                <w:b/>
                <w:sz w:val="17"/>
              </w:rPr>
              <w:t>Guiso en el epígrafe</w:t>
            </w:r>
          </w:p>
        </w:tc>
        <w:tc>
          <w:tcPr>
            <w:tcW w:type="dxa" w:w="1994"/>
            <w:shd w:val="clear" w:color="auto" w:fill="D9E2F3"/>
          </w:tcPr>
          <w:p>
            <w:r>
              <w:rPr>
                <w:b/>
              </w:rPr>
            </w:r>
            <w:r>
              <w:rPr>
                <w:b/>
                <w:sz w:val="17"/>
              </w:rPr>
              <w:t>Traducción</w:t>
            </w:r>
          </w:p>
        </w:tc>
        <w:tc>
          <w:tcPr>
            <w:tcW w:type="dxa" w:w="1994"/>
            <w:shd w:val="clear" w:color="auto" w:fill="D9E2F3"/>
          </w:tcPr>
          <w:p>
            <w:r>
              <w:rPr>
                <w:b/>
              </w:rPr>
            </w:r>
            <w:r>
              <w:rPr>
                <w:b/>
                <w:sz w:val="17"/>
              </w:rPr>
              <w:t>Ingredientes según las recetas del apéndice y del texto</w:t>
            </w:r>
          </w:p>
        </w:tc>
        <w:tc>
          <w:tcPr>
            <w:tcW w:type="dxa" w:w="1994"/>
            <w:shd w:val="clear" w:color="auto" w:fill="D9E2F3"/>
          </w:tcPr>
          <w:p>
            <w:r>
              <w:rPr>
                <w:b/>
              </w:rPr>
            </w:r>
            <w:r>
              <w:rPr>
                <w:b/>
                <w:sz w:val="17"/>
              </w:rPr>
              <w:t>Fuente de la receta</w:t>
            </w:r>
          </w:p>
        </w:tc>
        <w:tc>
          <w:tcPr>
            <w:tcW w:type="dxa" w:w="1994"/>
            <w:shd w:val="clear" w:color="auto" w:fill="D9E2F3"/>
          </w:tcPr>
          <w:p>
            <w:r>
              <w:rPr>
                <w:b/>
              </w:rPr>
            </w:r>
            <w:r>
              <w:rPr>
                <w:b/>
                <w:sz w:val="17"/>
              </w:rPr>
              <w:t>Contexto de uso y nota dietética</w:t>
            </w:r>
          </w:p>
        </w:tc>
      </w:tr>
      <w:tr>
        <w:tc>
          <w:tcPr>
            <w:tcW w:type="dxa" w:w="1994"/>
          </w:tcPr>
          <w:p>
            <w:r/>
            <w:r>
              <w:rPr>
                <w:b/>
                <w:i/>
                <w:sz w:val="17"/>
              </w:rPr>
              <w:t>Baqliyya</w:t>
            </w:r>
          </w:p>
        </w:tc>
        <w:tc>
          <w:tcPr>
            <w:tcW w:type="dxa" w:w="1994"/>
          </w:tcPr>
          <w:p>
            <w:r/>
            <w:r>
              <w:rPr>
                <w:sz w:val="17"/>
              </w:rPr>
              <w:t>guiso con verduras</w:t>
            </w:r>
          </w:p>
        </w:tc>
        <w:tc>
          <w:tcPr>
            <w:tcW w:type="dxa" w:w="1994"/>
          </w:tcPr>
          <w:p>
            <w:r/>
            <w:r>
              <w:rPr>
                <w:sz w:val="17"/>
              </w:rPr>
              <w:t>Carne de carnero o cordero; brotes de coliflor; cebolla; especias (pimienta, cilantro, alcaravea); aceite; en una versión, «salmuera clarificada»; cobertura de almendras, huevos y pan. En otra receta se admiten nabo, berenjena, calabaza, zanahoria o cogollos de lechuga</w:t>
            </w:r>
          </w:p>
        </w:tc>
        <w:tc>
          <w:tcPr>
            <w:tcW w:type="dxa" w:w="1994"/>
          </w:tcPr>
          <w:p>
            <w:r/>
            <w:r>
              <w:rPr>
                <w:sz w:val="17"/>
              </w:rPr>
              <w:t>Anónimo almohade (la receta 1.1 se atribuye a Zīryāb)</w:t>
            </w:r>
          </w:p>
        </w:tc>
        <w:tc>
          <w:tcPr>
            <w:tcW w:type="dxa" w:w="1994"/>
          </w:tcPr>
          <w:p>
            <w:r/>
            <w:r>
              <w:rPr>
                <w:sz w:val="17"/>
              </w:rPr>
              <w:t>Atribuido al músico Zīryāb, que introdujo costumbres de mesa refinadas en la corte cordobesa del emir ʿAbd al-Raḥmān II. Aparece en recetarios orientales desde el siglo X</w:t>
            </w:r>
          </w:p>
        </w:tc>
      </w:tr>
      <w:tr>
        <w:tc>
          <w:tcPr>
            <w:tcW w:type="dxa" w:w="1994"/>
          </w:tcPr>
          <w:p>
            <w:r/>
            <w:r>
              <w:rPr>
                <w:b/>
                <w:i/>
                <w:sz w:val="17"/>
              </w:rPr>
              <w:t>Qarʿiyya</w:t>
            </w:r>
          </w:p>
        </w:tc>
        <w:tc>
          <w:tcPr>
            <w:tcW w:type="dxa" w:w="1994"/>
          </w:tcPr>
          <w:p>
            <w:r/>
            <w:r>
              <w:rPr>
                <w:sz w:val="17"/>
              </w:rPr>
              <w:t>guiso con calabaza</w:t>
            </w:r>
          </w:p>
        </w:tc>
        <w:tc>
          <w:tcPr>
            <w:tcW w:type="dxa" w:w="1994"/>
          </w:tcPr>
          <w:p>
            <w:r/>
            <w:r>
              <w:rPr>
                <w:sz w:val="17"/>
              </w:rPr>
              <w:t>Carne de cordero joven y graso; calabaza fresca y tierna; cebolla; aceite; pimienta; cilantro; hierbas aromáticas (orégano, tomillo)</w:t>
            </w:r>
          </w:p>
        </w:tc>
        <w:tc>
          <w:tcPr>
            <w:tcW w:type="dxa" w:w="1994"/>
          </w:tcPr>
          <w:p>
            <w:r/>
            <w:r>
              <w:rPr>
                <w:sz w:val="17"/>
              </w:rPr>
              <w:t>Ibn Razīn; anónimo almohade</w:t>
            </w:r>
          </w:p>
        </w:tc>
        <w:tc>
          <w:tcPr>
            <w:tcW w:type="dxa" w:w="1994"/>
          </w:tcPr>
          <w:p>
            <w:r/>
            <w:r>
              <w:rPr>
                <w:sz w:val="17"/>
              </w:rPr>
              <w:t>Recomendado por Ibn al-Jaṭīb para males de la vejiga y tras la fiebre. Dos variantes figuran entre los platos de la mesa de los sultanes mamelucos (al-Ẓāhirī, siglo XV)</w:t>
            </w:r>
          </w:p>
        </w:tc>
      </w:tr>
      <w:tr>
        <w:tc>
          <w:tcPr>
            <w:tcW w:type="dxa" w:w="1994"/>
          </w:tcPr>
          <w:p>
            <w:r/>
            <w:r>
              <w:rPr>
                <w:b/>
                <w:i/>
                <w:sz w:val="17"/>
              </w:rPr>
              <w:t>Ŷulaydiyya</w:t>
            </w:r>
          </w:p>
        </w:tc>
        <w:tc>
          <w:tcPr>
            <w:tcW w:type="dxa" w:w="1994"/>
          </w:tcPr>
          <w:p>
            <w:r/>
            <w:r>
              <w:rPr>
                <w:sz w:val="17"/>
              </w:rPr>
              <w:t xml:space="preserve">«encostradito» (diminutivo de </w:t>
            </w:r>
            <w:r>
              <w:rPr>
                <w:i/>
                <w:sz w:val="17"/>
              </w:rPr>
              <w:t>ŷild</w:t>
            </w:r>
            <w:r>
              <w:rPr>
                <w:sz w:val="17"/>
              </w:rPr>
              <w:t>, piel)</w:t>
            </w:r>
          </w:p>
        </w:tc>
        <w:tc>
          <w:tcPr>
            <w:tcW w:type="dxa" w:w="1994"/>
          </w:tcPr>
          <w:p>
            <w:r/>
            <w:r>
              <w:rPr>
                <w:sz w:val="17"/>
              </w:rPr>
              <w:t>Carne de ave (gallina, oca o capón) guisada con especias y pasas; cobertura de almendras, nueces, pan rallado y yemas de huevo. Una versión añade miel, canela, galanga, azafrán, espliego y piñones</w:t>
            </w:r>
          </w:p>
        </w:tc>
        <w:tc>
          <w:tcPr>
            <w:tcW w:type="dxa" w:w="1994"/>
          </w:tcPr>
          <w:p>
            <w:r/>
            <w:r>
              <w:rPr>
                <w:sz w:val="17"/>
              </w:rPr>
              <w:t>Ibn Razīn; anónimo almohade</w:t>
            </w:r>
          </w:p>
        </w:tc>
        <w:tc>
          <w:tcPr>
            <w:tcW w:type="dxa" w:w="1994"/>
          </w:tcPr>
          <w:p>
            <w:r/>
            <w:r>
              <w:rPr>
                <w:sz w:val="17"/>
              </w:rPr>
              <w:t>Un nombre emparentado (</w:t>
            </w:r>
            <w:r>
              <w:rPr>
                <w:i/>
                <w:sz w:val="17"/>
              </w:rPr>
              <w:t>ŷildat al-furrūŷ</w:t>
            </w:r>
            <w:r>
              <w:rPr>
                <w:sz w:val="17"/>
              </w:rPr>
              <w:t>) figura en el poema gastronómico de Ibn al-Azraq (Granada, siglo XV), para un plato de pollo cebado y asado</w:t>
            </w:r>
          </w:p>
        </w:tc>
      </w:tr>
      <w:tr>
        <w:tc>
          <w:tcPr>
            <w:tcW w:type="dxa" w:w="1994"/>
          </w:tcPr>
          <w:p>
            <w:r/>
            <w:r>
              <w:rPr>
                <w:b/>
                <w:i/>
                <w:sz w:val="17"/>
              </w:rPr>
              <w:t>Gassāniyya</w:t>
            </w:r>
          </w:p>
        </w:tc>
        <w:tc>
          <w:tcPr>
            <w:tcW w:type="dxa" w:w="1994"/>
          </w:tcPr>
          <w:p>
            <w:r/>
            <w:r>
              <w:rPr>
                <w:sz w:val="17"/>
              </w:rPr>
              <w:t>guiso «de al-Gassānī»</w:t>
            </w:r>
          </w:p>
        </w:tc>
        <w:tc>
          <w:tcPr>
            <w:tcW w:type="dxa" w:w="1994"/>
          </w:tcPr>
          <w:p>
            <w:r/>
            <w:r>
              <w:rPr>
                <w:sz w:val="17"/>
              </w:rPr>
              <w:t>Carne de ovino o de ternera con cilantro; sémola; miel; en una versión, almendras, azafrán, azúcar molido y canela</w:t>
            </w:r>
          </w:p>
        </w:tc>
        <w:tc>
          <w:tcPr>
            <w:tcW w:type="dxa" w:w="1994"/>
          </w:tcPr>
          <w:p>
            <w:r/>
            <w:r>
              <w:rPr>
                <w:sz w:val="17"/>
              </w:rPr>
              <w:t>Ibn Razīn; anónimo almohade</w:t>
            </w:r>
          </w:p>
        </w:tc>
        <w:tc>
          <w:tcPr>
            <w:tcW w:type="dxa" w:w="1994"/>
          </w:tcPr>
          <w:p>
            <w:r/>
            <w:r>
              <w:rPr>
                <w:sz w:val="17"/>
              </w:rPr>
              <w:t>Toma el nombre de un cocinero no identificado. En banquetes se adornaba con guarnición y huevos partidos</w:t>
            </w:r>
          </w:p>
        </w:tc>
      </w:tr>
    </w:tbl>
    <w:p/>
    <w:p>
      <w:r>
        <w:rPr>
          <w:b/>
        </w:rPr>
        <w:t>Lo que el artículo no apoya.</w:t>
      </w:r>
      <w:r>
        <w:t xml:space="preserve"> Ni el texto ni el apéndice que he leído relacionan estas zafas con </w:t>
      </w:r>
      <w:r>
        <w:rPr>
          <w:i/>
        </w:rPr>
        <w:t>murrī</w:t>
      </w:r>
      <w:r>
        <w:t xml:space="preserve">, </w:t>
      </w:r>
      <w:r>
        <w:rPr>
          <w:i/>
        </w:rPr>
        <w:t>sapa</w:t>
      </w:r>
      <w:r>
        <w:t xml:space="preserve">, encurtidos, azúcar como mercancía, frutos secos como producto de almacén ni con agua o bebidas como contenido. La «salmuera clarificada» de la receta 1.1 podría corresponder a una salsa fermentada como el </w:t>
      </w:r>
      <w:r>
        <w:rPr>
          <w:i/>
        </w:rPr>
        <w:t>murrī</w:t>
      </w:r>
      <w:r>
        <w:t>, pero es una hipótesis mía que habría que contrastar con la edición árabe (Huici 1965: 160) antes de usarla. El aceite, el vino, las especias y el azúcar como mercancías corresponden al clúster 2 (tinajas y orzas de almacenamiento y transporte), que el artículo no trata.</w:t>
      </w:r>
    </w:p>
    <w:p>
      <w:pPr>
        <w:pStyle w:val="Heading3"/>
      </w:pPr>
      <w:r>
        <w:t>3.3 Qué dice la serie sobre el consumo y sobre quien lo practica</w:t>
      </w:r>
    </w:p>
    <w:p>
      <w:pPr>
        <w:pStyle w:val="ListBullet"/>
      </w:pPr>
      <w:r>
        <w:rPr>
          <w:b/>
        </w:rPr>
        <w:t>Prestigio y mecenazgo.</w:t>
      </w:r>
      <w:r>
        <w:t xml:space="preserve"> El texto estaba dirigido a una comunidad arabófona e instruida. Los autores relacionan la serie con gobernantes taifas que se comportaron como mecenas generosos y doctos, y con un deseo de emulación entre élites y personas de su entorno. La aparición de zafas en el castillo de Albarracín y en zonas gubernamentales de Dénia, Málaga, Toledo y Mértola apoya la idea de una moda. La presencia en El Castellar d'Alcoi y en las alquerías de Silla y Benetússer indica que no se limitó a la ciudad.</w:t>
      </w:r>
    </w:p>
    <w:p>
      <w:pPr>
        <w:pStyle w:val="ListBullet"/>
      </w:pPr>
      <w:r>
        <w:rPr>
          <w:b/>
        </w:rPr>
        <w:t>Comer en común, en ocasiones señaladas.</w:t>
      </w:r>
      <w:r>
        <w:t xml:space="preserve"> La capacidad de las zafas (2–3 kg) y su tamaño sugieren un servicio compartido. Las fuentes que cita el artículo sitúan los banquetes en festividades como el fin del ayuno, la fiesta de los sacrificios y la ʿāšūrā', y en nacimientos, circuncisiones, bodas, vueltas de peregrinos y fiestas estacionales como el equinoccio de primavera y el solsticio de verano.</w:t>
      </w:r>
    </w:p>
    <w:p>
      <w:pPr>
        <w:pStyle w:val="ListBullet"/>
      </w:pPr>
      <w:r>
        <w:rPr>
          <w:b/>
        </w:rPr>
        <w:t>Nombrar el plato como práctica de cocina cortesana.</w:t>
      </w:r>
      <w:r>
        <w:t xml:space="preserve"> Los nombres de guisos en </w:t>
      </w:r>
      <w:r>
        <w:rPr>
          <w:i/>
        </w:rPr>
        <w:t>-iyya</w:t>
      </w:r>
      <w:r>
        <w:t xml:space="preserve"> se forman a partir de un producto, de especias, de un origen geográfico, de un aspecto, de un cocinero o de un califa (Gelder 2005). La serie «¡Come!» pertenece a esa tradición de nombrar platos, y el artículo documenta su pervivencia en recetarios desde el siglo X hasta el XV.</w:t>
      </w:r>
    </w:p>
    <w:p>
      <w:pPr>
        <w:pStyle w:val="Heading3"/>
      </w:pPr>
      <w:r>
        <w:t>3.4 Qué falta para pasar de la lectura textual a la prueba material</w:t>
      </w:r>
    </w:p>
    <w:p>
      <w:r>
        <w:t xml:space="preserve">La asociación entre cada inscripción y el guiso que contuvo es </w:t>
      </w:r>
      <w:r>
        <w:rPr>
          <w:b/>
        </w:rPr>
        <w:t>una hipótesis textual</w:t>
      </w:r>
      <w:r>
        <w:t xml:space="preserve">: el artículo se funda en la lectura del nombre y en recetas escritas, no en residuos de las propias piezas. De ahí que el vacío 1 de la sección 2.8 sea el más importante. Si los residuos de grasa de ovino en </w:t>
      </w:r>
      <w:r>
        <w:rPr>
          <w:i/>
        </w:rPr>
        <w:t>gassāniyya</w:t>
      </w:r>
      <w:r>
        <w:t xml:space="preserve"> y </w:t>
      </w:r>
      <w:r>
        <w:rPr>
          <w:i/>
        </w:rPr>
        <w:t>qarʿiyya</w:t>
      </w:r>
      <w:r>
        <w:t xml:space="preserve">, o de grasa de ave en </w:t>
      </w:r>
      <w:r>
        <w:rPr>
          <w:i/>
        </w:rPr>
        <w:t>ŷulaydiyya</w:t>
      </w:r>
      <w:r>
        <w:t>, aparecieran en piezas con esas inscripciones y no en piezas sin ellas, la hipótesis ganaría un apoyo independiente. Si no aparecieran, podría deberse al vidriado interior o a la conservación, y no necesariamente a que la hipótesis fuese falsa.</w:t>
      </w:r>
    </w:p>
    <w:p>
      <w:pPr>
        <w:pStyle w:val="Heading2"/>
      </w:pPr>
      <w:r>
        <w:t>4. Límites y verificaciones pendientes</w:t>
      </w:r>
    </w:p>
    <w:p>
      <w:pPr>
        <w:ind w:left="510" w:hanging="340"/>
      </w:pPr>
      <w:r>
        <w:t xml:space="preserve">1. </w:t>
      </w:r>
      <w:r>
        <w:rPr>
          <w:b/>
        </w:rPr>
        <w:t>Lecturas epigráficas.</w:t>
      </w:r>
      <w:r>
        <w:t xml:space="preserve"> Son de los autores; no las he contrastado con las piezas ni con otras ediciones.</w:t>
      </w:r>
    </w:p>
    <w:p>
      <w:pPr>
        <w:ind w:left="510" w:hanging="340"/>
      </w:pPr>
      <w:r>
        <w:t xml:space="preserve">2. </w:t>
      </w:r>
      <w:r>
        <w:rPr>
          <w:b/>
        </w:rPr>
        <w:t>Bibliometría.</w:t>
      </w:r>
      <w:r>
        <w:t xml:space="preserve"> Es una exploración en OpenAlex (404 registros cribados por título y palabras clave), no una revisión sistemática. Faltan WoS, Scopus, Dialnet, Index Islamicus y Digital.CSIC. El artículo central no está indexado en OpenAlex y las revistas regionales están mal cubiertas.</w:t>
      </w:r>
    </w:p>
    <w:p>
      <w:pPr>
        <w:ind w:left="510" w:hanging="340"/>
      </w:pPr>
      <w:r>
        <w:t xml:space="preserve">3. </w:t>
      </w:r>
      <w:r>
        <w:rPr>
          <w:b/>
        </w:rPr>
        <w:t>Precisión de los clústeres.</w:t>
      </w:r>
      <w:r>
        <w:t xml:space="preserve"> Estimo entre 75 y 85 % en C3 y C4 por revisión de muestras de títulos. Los recuentos son órdenes de magnitud. El cribado se hizo sobre títulos y palabras clave, no sobre resúmenes.</w:t>
      </w:r>
    </w:p>
    <w:p>
      <w:pPr>
        <w:ind w:left="510" w:hanging="340"/>
      </w:pPr>
      <w:r>
        <w:t xml:space="preserve">4. </w:t>
      </w:r>
      <w:r>
        <w:rPr>
          <w:b/>
        </w:rPr>
        <w:t>Autores e instituciones.</w:t>
      </w:r>
      <w:r>
        <w:t xml:space="preserve"> Las afiliaciones proceden de OpenAlex y pueden estar desactualizadas. Los datos sobre Carmen Barceló (1949–2024) y la necrológica de Guillem Rosselló-Bordoy proceden de títulos indexados y del índice de la AEAM.</w:t>
      </w:r>
    </w:p>
    <w:p>
      <w:pPr>
        <w:ind w:left="510" w:hanging="340"/>
      </w:pPr>
      <w:r>
        <w:t xml:space="preserve">5. </w:t>
      </w:r>
      <w:r>
        <w:rPr>
          <w:b/>
        </w:rPr>
        <w:t>Recetas.</w:t>
      </w:r>
      <w:r>
        <w:t xml:space="preserve"> Resumo ingredientes, no cantidades ni procedimientos. Las traducciones de los recetarios son las que cita el artículo (Huici 1965, 1966; Marín 2007).</w:t>
      </w:r>
    </w:p>
    <w:p>
      <w:pPr>
        <w:ind w:left="510" w:hanging="340"/>
      </w:pPr>
      <w:r>
        <w:t xml:space="preserve">6. </w:t>
      </w:r>
      <w:r>
        <w:rPr>
          <w:b/>
        </w:rPr>
        <w:t>Citas y datos de contexto.</w:t>
      </w:r>
      <w:r>
        <w:t xml:space="preserve"> Lo marcado como </w:t>
      </w:r>
      <w:r>
        <w:rPr>
          <w:i/>
        </w:rPr>
        <w:t>(contexto, a verificar)</w:t>
      </w:r>
      <w:r>
        <w:t xml:space="preserve"> no procede del artículo.</w:t>
      </w:r>
    </w:p>
    <w:p>
      <w:pPr>
        <w:pStyle w:val="Heading2"/>
      </w:pPr>
      <w:r>
        <w:t>5. Siguientes pasos que recomiendo</w:t>
      </w:r>
    </w:p>
    <w:p>
      <w:pPr>
        <w:ind w:left="510" w:hanging="340"/>
      </w:pPr>
      <w:r>
        <w:t>1. Ejecutar las ecuaciones de la sección 2.2 en Dialnet, Index Islamicus y Digital.CSIC, y después en WoS y Scopus, y comparar los recuentos con los de OpenAlex.</w:t>
      </w:r>
    </w:p>
    <w:p>
      <w:pPr>
        <w:ind w:left="510" w:hanging="340"/>
      </w:pPr>
      <w:r>
        <w:t xml:space="preserve">2. Leer a texto completo Pecci </w:t>
      </w:r>
      <w:r>
        <w:rPr>
          <w:i/>
        </w:rPr>
        <w:t>et al.</w:t>
      </w:r>
      <w:r>
        <w:t xml:space="preserve"> (2015), Lundy </w:t>
      </w:r>
      <w:r>
        <w:rPr>
          <w:i/>
        </w:rPr>
        <w:t>et al.</w:t>
      </w:r>
      <w:r>
        <w:t xml:space="preserve"> (2021, 2023), Cañabate Guerrero y Sánchez Vizcaíno (1995) y Garnier y Gilotte (2017) antes de diseñar un muestreo de residuos.</w:t>
      </w:r>
    </w:p>
    <w:p>
      <w:pPr>
        <w:ind w:left="510" w:hanging="340"/>
      </w:pPr>
      <w:r>
        <w:t xml:space="preserve">3. Pedir a Barceló–Labarta–Armengol (o a quien custodie su archivo) la guía </w:t>
      </w:r>
      <w:r>
        <w:rPr>
          <w:i/>
        </w:rPr>
        <w:t>Cerámica andalusí con epígrafes decorativos</w:t>
      </w:r>
      <w:r>
        <w:t>, que no he podido consultar.</w:t>
      </w:r>
    </w:p>
    <w:p>
      <w:pPr>
        <w:ind w:left="510" w:hanging="340"/>
      </w:pPr>
      <w:r>
        <w:t>4. Si el interés es patrimonial o turístico: el apéndice de recetas permite reconstrucciones culinarias con respaldo textual. La idea de «el menú escrito en el plato» es un recurso interpretativo directo para museografía y gastronomía histórica; conviene atribuirla a la lectura de Armengol y Barceló, y no presentarla como un hecho establecido.</w:t>
      </w:r>
    </w:p>
    <w:p>
      <w:pPr>
        <w:pStyle w:val="Heading2"/>
      </w:pPr>
      <w:r>
        <w:t>Archivos adjuntos</w:t>
      </w:r>
    </w:p>
    <w:p>
      <w:pPr>
        <w:pStyle w:val="ListBullet"/>
      </w:pPr>
      <w:r>
        <w:t>Libro de cálculo con el corpus cribado (404 registros), el resumen por clúster, la matriz de coocurrencia y las cadenas ejecutadas: bibliometric_corpus_openalex.xlsx (adjunto)</w:t>
      </w:r>
    </w:p>
    <w:p>
      <w:pPr>
        <w:pStyle w:val="ListBullet"/>
      </w:pPr>
      <w:r>
        <w:t>Corpus cribado en CSV (UTF-8 con BOM): bibliometric_corpus_openalex.csv (adjunto)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