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color w:val="1F3864"/>
          <w:sz w:val="40"/>
          <w:szCs w:val="40"/>
        </w:rPr>
        <w:t xml:space="preserve">MODELLING REPORT</w:t>
      </w:r>
    </w:p>
    <w:p>
      <w:pPr>
        <w:spacing w:after="60" w:before="0"/>
        <w:jc w:val="center"/>
      </w:pPr>
      <w:r>
        <w:rPr>
          <w:color w:val="2E5FA3"/>
          <w:sz w:val="28"/>
          <w:szCs w:val="28"/>
        </w:rPr>
        <w:t xml:space="preserve">Day-Ahead French Power Price Forecasting</w:t>
      </w:r>
    </w:p>
    <w:p>
      <w:pPr>
        <w:spacing w:after="300" w:before="0"/>
        <w:jc w:val="center"/>
      </w:pPr>
      <w:r>
        <w:rPr>
          <w:i/>
          <w:iCs/>
          <w:color w:val="777777"/>
          <w:sz w:val="20"/>
          <w:szCs w:val="20"/>
        </w:rPr>
        <w:t xml:space="preserve">EDHEC MSc Data Analysis &amp; AI  —  Master's Thesis</w:t>
      </w:r>
    </w:p>
    <w:p>
      <w:pPr>
        <w:pBdr>
          <w:bottom w:val="single" w:color="CCCCCC" w:sz="4"/>
        </w:pBdr>
        <w:spacing w:after="100" w:before="100"/>
      </w:pPr>
    </w:p>
    <w:p>
      <w:pPr>
        <w:pStyle w:val="Heading1"/>
        <w:spacing w:after="120" w:before="300"/>
      </w:pPr>
      <w:r>
        <w:rPr>
          <w:b/>
          <w:bCs/>
          <w:color w:val="1F3864"/>
          <w:sz w:val="28"/>
          <w:szCs w:val="28"/>
        </w:rPr>
        <w:t xml:space="preserve">1. Methodology</w:t>
      </w:r>
    </w:p>
    <w:p>
      <w:pPr>
        <w:pStyle w:val="Heading2"/>
        <w:spacing w:after="100" w:before="200"/>
      </w:pPr>
      <w:r>
        <w:rPr>
          <w:b/>
          <w:bCs/>
          <w:color w:val="2E5FA3"/>
          <w:sz w:val="24"/>
          <w:szCs w:val="24"/>
        </w:rPr>
        <w:t xml:space="preserve">1.1 Problem Formulation</w:t>
      </w:r>
    </w:p>
    <w:p>
      <w:pPr>
        <w:spacing w:after="100" w:before="80"/>
      </w:pPr>
      <w:r>
        <w:rPr>
          <w:sz w:val="22"/>
          <w:szCs w:val="22"/>
        </w:rPr>
        <w:t xml:space="preserve">The objective is to forecast the French day-ahead electricity price (EPEX SPOT France) for each hour of the next day, using information available before the market gate closure (~12:00 CET). This is a supervised regression problem on a time series with strong seasonal structure.</w:t>
      </w:r>
    </w:p>
    <w:p>
      <w:pPr>
        <w:pStyle w:val="Heading2"/>
        <w:spacing w:after="100" w:before="200"/>
      </w:pPr>
      <w:r>
        <w:rPr>
          <w:b/>
          <w:bCs/>
          <w:color w:val="2E5FA3"/>
          <w:sz w:val="24"/>
          <w:szCs w:val="24"/>
        </w:rPr>
        <w:t xml:space="preserve">1.2 Feature Engineering</w:t>
      </w:r>
    </w:p>
    <w:p>
      <w:pPr>
        <w:spacing w:after="100" w:before="80"/>
      </w:pPr>
      <w:r>
        <w:rPr>
          <w:sz w:val="22"/>
          <w:szCs w:val="22"/>
        </w:rPr>
        <w:t xml:space="preserve">28 features were constructed from four data sources:</w:t>
      </w:r>
    </w:p>
    <w:p>
      <w:pPr>
        <w:pStyle w:val="ListParagraph"/>
        <w:numPr>
          <w:ilvl w:val="0"/>
          <w:numId w:val="2"/>
        </w:numPr>
        <w:spacing w:after="60" w:before="60"/>
      </w:pPr>
      <w:r>
        <w:rPr>
          <w:sz w:val="22"/>
          <w:szCs w:val="22"/>
        </w:rPr>
        <w:t xml:space="preserve">Calendar: hour of day (sin/cos encoded), day of week, month (sin/cos encoded), is_weekend</w:t>
      </w:r>
    </w:p>
    <w:p>
      <w:pPr>
        <w:pStyle w:val="ListParagraph"/>
        <w:numPr>
          <w:ilvl w:val="0"/>
          <w:numId w:val="2"/>
        </w:numPr>
        <w:spacing w:after="60" w:before="60"/>
      </w:pPr>
      <w:r>
        <w:rPr>
          <w:sz w:val="22"/>
          <w:szCs w:val="22"/>
        </w:rPr>
        <w:t xml:space="preserve">Price lags: T-24h, T-48h, T-168h, rolling means (24h, 168h)</w:t>
      </w:r>
    </w:p>
    <w:p>
      <w:pPr>
        <w:pStyle w:val="ListParagraph"/>
        <w:numPr>
          <w:ilvl w:val="0"/>
          <w:numId w:val="2"/>
        </w:numPr>
        <w:spacing w:after="60" w:before="60"/>
      </w:pPr>
      <w:r>
        <w:rPr>
          <w:sz w:val="22"/>
          <w:szCs w:val="22"/>
        </w:rPr>
        <w:t xml:space="preserve">Fundamentals: load forecast, nuclear/wind/solar/gas/hydro generation (MW)</w:t>
      </w:r>
    </w:p>
    <w:p>
      <w:pPr>
        <w:pStyle w:val="ListParagraph"/>
        <w:numPr>
          <w:ilvl w:val="0"/>
          <w:numId w:val="2"/>
        </w:numPr>
        <w:spacing w:after="200" w:before="60"/>
      </w:pPr>
      <w:r>
        <w:rPr>
          <w:sz w:val="22"/>
          <w:szCs w:val="22"/>
        </w:rPr>
        <w:t xml:space="preserve">Weather (ERA5): temperature, wind speed, solar radiation, precipitation, HDD, CDD, wind power proxy, Weather Stress Index</w:t>
      </w:r>
    </w:p>
    <w:p>
      <w:pPr>
        <w:pStyle w:val="Heading2"/>
        <w:spacing w:after="100" w:before="200"/>
      </w:pPr>
      <w:r>
        <w:rPr>
          <w:b/>
          <w:bCs/>
          <w:color w:val="2E5FA3"/>
          <w:sz w:val="24"/>
          <w:szCs w:val="24"/>
        </w:rPr>
        <w:t xml:space="preserve">1.3 Train / Test Split</w:t>
      </w:r>
    </w:p>
    <w:p>
      <w:pPr>
        <w:spacing w:after="100" w:before="80"/>
      </w:pPr>
      <w:r>
        <w:rPr>
          <w:sz w:val="22"/>
          <w:szCs w:val="22"/>
        </w:rPr>
        <w:t xml:space="preserve">A strict temporal split is used to prevent data leakage. The model is trained on 2018–2023 and evaluated on the full year 2024 (out-of-sample).</w:t>
      </w:r>
    </w:p>
    <w:p>
      <w:pPr>
        <w:spacing w:after="100"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026"/>
      </w:tblGrid>
      <w:tr>
        <w:tc>
          <w:tcPr>
            <w:tcW w:type="dxa" w:w="3500"/>
            <w:tcBorders>
              <w:top w:val="single" w:color="CCCCCC" w:sz="1"/>
              <w:left w:val="single" w:color="CCCCCC" w:sz="1"/>
              <w:bottom w:val="single" w:color="CCCCCC" w:sz="1"/>
              <w:right w:val="single" w:color="CCCCCC" w:sz="1"/>
            </w:tcBorders>
            <w:shd w:fill="1F3864" w:val="clear"/>
            <w:tcMar>
              <w:top w:type="dxa" w:w="80"/>
              <w:left w:type="dxa" w:w="160"/>
              <w:bottom w:type="dxa" w:w="80"/>
              <w:right w:type="dxa" w:w="160"/>
            </w:tcMar>
          </w:tcPr>
          <w:p>
            <w:pPr>
              <w:jc w:val="left"/>
            </w:pPr>
            <w:r>
              <w:rPr>
                <w:b/>
                <w:bCs/>
                <w:color w:val="FFFFFF"/>
                <w:sz w:val="20"/>
                <w:szCs w:val="20"/>
              </w:rPr>
              <w:t xml:space="preserve">Set</w:t>
            </w:r>
          </w:p>
        </w:tc>
        <w:tc>
          <w:tcPr>
            <w:tcW w:type="dxa" w:w="3500"/>
            <w:tcBorders>
              <w:top w:val="single" w:color="CCCCCC" w:sz="1"/>
              <w:left w:val="single" w:color="CCCCCC" w:sz="1"/>
              <w:bottom w:val="single" w:color="CCCCCC" w:sz="1"/>
              <w:right w:val="single" w:color="CCCCCC" w:sz="1"/>
            </w:tcBorders>
            <w:shd w:fill="2E5FA3" w:val="clear"/>
            <w:tcMar>
              <w:top w:type="dxa" w:w="80"/>
              <w:left w:type="dxa" w:w="160"/>
              <w:bottom w:type="dxa" w:w="80"/>
              <w:right w:type="dxa" w:w="160"/>
            </w:tcMar>
          </w:tcPr>
          <w:p>
            <w:pPr>
              <w:jc w:val="center"/>
            </w:pPr>
            <w:r>
              <w:rPr>
                <w:b/>
                <w:bCs/>
                <w:color w:val="FFFFFF"/>
                <w:sz w:val="20"/>
                <w:szCs w:val="20"/>
              </w:rPr>
              <w:t xml:space="preserve">Period</w:t>
            </w:r>
          </w:p>
        </w:tc>
        <w:tc>
          <w:tcPr>
            <w:tcW w:type="dxa" w:w="2026"/>
            <w:tcBorders>
              <w:top w:val="single" w:color="CCCCCC" w:sz="1"/>
              <w:left w:val="single" w:color="CCCCCC" w:sz="1"/>
              <w:bottom w:val="single" w:color="CCCCCC" w:sz="1"/>
              <w:right w:val="single" w:color="CCCCCC" w:sz="1"/>
            </w:tcBorders>
            <w:shd w:fill="2E5FA3" w:val="clear"/>
            <w:tcMar>
              <w:top w:type="dxa" w:w="80"/>
              <w:left w:type="dxa" w:w="160"/>
              <w:bottom w:type="dxa" w:w="80"/>
              <w:right w:type="dxa" w:w="160"/>
            </w:tcMar>
          </w:tcPr>
          <w:p>
            <w:pPr>
              <w:jc w:val="center"/>
            </w:pPr>
            <w:r>
              <w:rPr>
                <w:b/>
                <w:bCs/>
                <w:color w:val="FFFFFF"/>
                <w:sz w:val="20"/>
                <w:szCs w:val="20"/>
              </w:rPr>
              <w:t xml:space="preserve">Hours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jc w:val="left"/>
            </w:pPr>
            <w:r>
              <w:rPr>
                <w:b w:val="false"/>
                <w:bCs w:val="false"/>
                <w:color w:val="333333"/>
                <w:sz w:val="20"/>
                <w:szCs w:val="20"/>
              </w:rPr>
              <w:t xml:space="preserve">Training</w:t>
            </w:r>
          </w:p>
        </w:tc>
        <w:tc>
          <w:tcPr>
            <w:tcW w:type="dxa" w:w="3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jc w:val="center"/>
            </w:pPr>
            <w:r>
              <w:rPr>
                <w:b w:val="false"/>
                <w:bCs w:val="false"/>
                <w:color w:val="333333"/>
                <w:sz w:val="20"/>
                <w:szCs w:val="20"/>
              </w:rPr>
              <w:t xml:space="preserve">Jan 2018 — Dec 2023</w:t>
            </w:r>
          </w:p>
        </w:tc>
        <w:tc>
          <w:tcPr>
            <w:tcW w:type="dxa" w:w="2026"/>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jc w:val="center"/>
            </w:pPr>
            <w:r>
              <w:rPr>
                <w:b w:val="false"/>
                <w:bCs w:val="false"/>
                <w:color w:val="333333"/>
                <w:sz w:val="20"/>
                <w:szCs w:val="20"/>
              </w:rPr>
              <w:t xml:space="preserve">~52,500</w:t>
            </w:r>
          </w:p>
        </w:tc>
      </w:tr>
      <w:tr>
        <w:tc>
          <w:tcPr>
            <w:tcW w:type="dxa" w:w="3500"/>
            <w:tcBorders>
              <w:top w:val="single" w:color="CCCCCC" w:sz="1"/>
              <w:left w:val="single" w:color="CCCCCC" w:sz="1"/>
              <w:bottom w:val="single" w:color="CCCCCC" w:sz="1"/>
              <w:right w:val="single" w:color="CCCCCC" w:sz="1"/>
            </w:tcBorders>
            <w:shd w:fill="F0F4FA" w:val="clear"/>
            <w:tcMar>
              <w:top w:type="dxa" w:w="80"/>
              <w:left w:type="dxa" w:w="160"/>
              <w:bottom w:type="dxa" w:w="80"/>
              <w:right w:type="dxa" w:w="160"/>
            </w:tcMar>
          </w:tcPr>
          <w:p>
            <w:pPr>
              <w:jc w:val="left"/>
            </w:pPr>
            <w:r>
              <w:rPr>
                <w:b w:val="false"/>
                <w:bCs w:val="false"/>
                <w:color w:val="333333"/>
                <w:sz w:val="20"/>
                <w:szCs w:val="20"/>
              </w:rPr>
              <w:t xml:space="preserve">Test (out-of-sample)</w:t>
            </w:r>
          </w:p>
        </w:tc>
        <w:tc>
          <w:tcPr>
            <w:tcW w:type="dxa" w:w="3500"/>
            <w:tcBorders>
              <w:top w:val="single" w:color="CCCCCC" w:sz="1"/>
              <w:left w:val="single" w:color="CCCCCC" w:sz="1"/>
              <w:bottom w:val="single" w:color="CCCCCC" w:sz="1"/>
              <w:right w:val="single" w:color="CCCCCC" w:sz="1"/>
            </w:tcBorders>
            <w:shd w:fill="F0F4FA" w:val="clear"/>
            <w:tcMar>
              <w:top w:type="dxa" w:w="80"/>
              <w:left w:type="dxa" w:w="160"/>
              <w:bottom w:type="dxa" w:w="80"/>
              <w:right w:type="dxa" w:w="160"/>
            </w:tcMar>
          </w:tcPr>
          <w:p>
            <w:pPr>
              <w:jc w:val="center"/>
            </w:pPr>
            <w:r>
              <w:rPr>
                <w:b w:val="false"/>
                <w:bCs w:val="false"/>
                <w:color w:val="333333"/>
                <w:sz w:val="20"/>
                <w:szCs w:val="20"/>
              </w:rPr>
              <w:t xml:space="preserve">Jan 2024 — Dec 2024</w:t>
            </w:r>
          </w:p>
        </w:tc>
        <w:tc>
          <w:tcPr>
            <w:tcW w:type="dxa" w:w="2026"/>
            <w:tcBorders>
              <w:top w:val="single" w:color="CCCCCC" w:sz="1"/>
              <w:left w:val="single" w:color="CCCCCC" w:sz="1"/>
              <w:bottom w:val="single" w:color="CCCCCC" w:sz="1"/>
              <w:right w:val="single" w:color="CCCCCC" w:sz="1"/>
            </w:tcBorders>
            <w:shd w:fill="F0F4FA" w:val="clear"/>
            <w:tcMar>
              <w:top w:type="dxa" w:w="80"/>
              <w:left w:type="dxa" w:w="160"/>
              <w:bottom w:type="dxa" w:w="80"/>
              <w:right w:type="dxa" w:w="160"/>
            </w:tcMar>
          </w:tcPr>
          <w:p>
            <w:pPr>
              <w:jc w:val="center"/>
            </w:pPr>
            <w:r>
              <w:rPr>
                <w:b w:val="false"/>
                <w:bCs w:val="false"/>
                <w:color w:val="333333"/>
                <w:sz w:val="20"/>
                <w:szCs w:val="20"/>
              </w:rPr>
              <w:t xml:space="preserve">~8,700</w:t>
            </w:r>
          </w:p>
        </w:tc>
      </w:tr>
    </w:tbl>
    <w:p>
      <w:r>
        <w:br w:type="page"/>
      </w:r>
    </w:p>
    <w:p>
      <w:pPr>
        <w:pStyle w:val="Heading1"/>
        <w:spacing w:after="120" w:before="300"/>
      </w:pPr>
      <w:r>
        <w:rPr>
          <w:b/>
          <w:bCs/>
          <w:color w:val="1F3864"/>
          <w:sz w:val="28"/>
          <w:szCs w:val="28"/>
        </w:rPr>
        <w:t xml:space="preserve">2. Models</w:t>
      </w:r>
    </w:p>
    <w:p>
      <w:pPr>
        <w:pStyle w:val="Heading2"/>
        <w:spacing w:after="100" w:before="200"/>
      </w:pPr>
      <w:r>
        <w:rPr>
          <w:b/>
          <w:bCs/>
          <w:color w:val="2E5FA3"/>
          <w:sz w:val="24"/>
          <w:szCs w:val="24"/>
        </w:rPr>
        <w:t xml:space="preserve">2.1 Naive Benchmark</w:t>
      </w:r>
    </w:p>
    <w:p>
      <w:pPr>
        <w:spacing w:after="100" w:before="80"/>
      </w:pPr>
      <w:r>
        <w:rPr>
          <w:sz w:val="22"/>
          <w:szCs w:val="22"/>
        </w:rPr>
        <w:t xml:space="preserve">The naive model predicts the price at hour h on day D+1 as equal to the price at hour h on day D (same-hour previous day). This simple benchmark captures the strong 24h autocorrelation but ignores all other information. It serves as the minimum performance bar any model must beat.</w:t>
      </w:r>
    </w:p>
    <w:p>
      <w:pPr>
        <w:pStyle w:val="Heading2"/>
        <w:spacing w:after="100" w:before="200"/>
      </w:pPr>
      <w:r>
        <w:rPr>
          <w:b/>
          <w:bCs/>
          <w:color w:val="2E5FA3"/>
          <w:sz w:val="24"/>
          <w:szCs w:val="24"/>
        </w:rPr>
        <w:t xml:space="preserve">2.2 Random Forest</w:t>
      </w:r>
    </w:p>
    <w:p>
      <w:pPr>
        <w:spacing w:after="100" w:before="80"/>
      </w:pPr>
      <w:r>
        <w:rPr>
          <w:sz w:val="22"/>
          <w:szCs w:val="22"/>
        </w:rPr>
        <w:t xml:space="preserve">A Random Forest regressor (500 trees, max depth 10, min samples leaf 5) is trained on the full feature matrix. Random Forests are well-suited to electricity price forecasting because they handle non-linear interactions between weather and calendar variables without manual specification, are robust to outliers, and provide built-in feature importance measures. The ensemble approach also reduces variance compared to individual decision trees.</w:t>
      </w:r>
    </w:p>
    <w:p>
      <w:pPr>
        <w:pStyle w:val="Heading2"/>
        <w:spacing w:after="100" w:before="200"/>
      </w:pPr>
      <w:r>
        <w:rPr>
          <w:b/>
          <w:bCs/>
          <w:color w:val="2E5FA3"/>
          <w:sz w:val="24"/>
          <w:szCs w:val="24"/>
        </w:rPr>
        <w:t xml:space="preserve">2.3 XGBoost</w:t>
      </w:r>
    </w:p>
    <w:p>
      <w:pPr>
        <w:spacing w:after="100" w:before="80"/>
      </w:pPr>
      <w:r>
        <w:rPr>
          <w:sz w:val="22"/>
          <w:szCs w:val="22"/>
        </w:rPr>
        <w:t xml:space="preserve">An XGBoost gradient-boosted tree model (500 estimators, learning rate 0.05, max depth 6, subsample 0.8) is trained as an alternative to the Random Forest. XGBoost typically performs comparably or better on tabular data due to its sequential error-correction mechanism and built-in regularisation (L1/L2).</w:t>
      </w:r>
    </w:p>
    <w:p>
      <w:pPr>
        <w:pStyle w:val="Heading1"/>
        <w:spacing w:after="120" w:before="300"/>
      </w:pPr>
      <w:r>
        <w:rPr>
          <w:b/>
          <w:bCs/>
          <w:color w:val="1F3864"/>
          <w:sz w:val="28"/>
          <w:szCs w:val="28"/>
        </w:rPr>
        <w:t xml:space="preserve">3. Results</w:t>
      </w:r>
    </w:p>
    <w:p>
      <w:pPr>
        <w:pStyle w:val="Heading2"/>
        <w:spacing w:after="100" w:before="200"/>
      </w:pPr>
      <w:r>
        <w:rPr>
          <w:b/>
          <w:bCs/>
          <w:color w:val="2E5FA3"/>
          <w:sz w:val="24"/>
          <w:szCs w:val="24"/>
        </w:rPr>
        <w:t xml:space="preserve">3.1 Test Set Performance</w:t>
      </w:r>
    </w:p>
    <w:p>
      <w:pPr>
        <w:spacing w:after="100" w:before="80"/>
      </w:pPr>
      <w:r>
        <w:rPr>
          <w:sz w:val="22"/>
          <w:szCs w:val="22"/>
        </w:rPr>
        <w:t xml:space="preserve">All models are evaluated on the 2024 out-of-sample test set. The table below reports Mean Absolute Error (MAE), Root Mean Square Error (RMSE), and R-squared (R²).</w:t>
      </w:r>
    </w:p>
    <w:p>
      <w:pPr>
        <w:spacing w:after="100"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26"/>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60"/>
              <w:bottom w:type="dxa" w:w="80"/>
              <w:right w:type="dxa" w:w="160"/>
            </w:tcMar>
          </w:tcPr>
          <w:p>
            <w:pPr>
              <w:jc w:val="left"/>
            </w:pPr>
            <w:r>
              <w:rPr>
                <w:b/>
                <w:bCs/>
                <w:color w:val="FFFFFF"/>
                <w:sz w:val="20"/>
                <w:szCs w:val="20"/>
              </w:rPr>
              <w:t xml:space="preserve">Model</w:t>
            </w:r>
          </w:p>
        </w:tc>
        <w:tc>
          <w:tcPr>
            <w:tcW w:type="dxa" w:w="2000"/>
            <w:tcBorders>
              <w:top w:val="single" w:color="CCCCCC" w:sz="1"/>
              <w:left w:val="single" w:color="CCCCCC" w:sz="1"/>
              <w:bottom w:val="single" w:color="CCCCCC" w:sz="1"/>
              <w:right w:val="single" w:color="CCCCCC" w:sz="1"/>
            </w:tcBorders>
            <w:shd w:fill="2E5FA3" w:val="clear"/>
            <w:tcMar>
              <w:top w:type="dxa" w:w="80"/>
              <w:left w:type="dxa" w:w="160"/>
              <w:bottom w:type="dxa" w:w="80"/>
              <w:right w:type="dxa" w:w="160"/>
            </w:tcMar>
          </w:tcPr>
          <w:p>
            <w:pPr>
              <w:jc w:val="center"/>
            </w:pPr>
            <w:r>
              <w:rPr>
                <w:b/>
                <w:bCs/>
                <w:color w:val="FFFFFF"/>
                <w:sz w:val="20"/>
                <w:szCs w:val="20"/>
              </w:rPr>
              <w:t xml:space="preserve">MAE (€/MWh)</w:t>
            </w:r>
          </w:p>
        </w:tc>
        <w:tc>
          <w:tcPr>
            <w:tcW w:type="dxa" w:w="2000"/>
            <w:tcBorders>
              <w:top w:val="single" w:color="CCCCCC" w:sz="1"/>
              <w:left w:val="single" w:color="CCCCCC" w:sz="1"/>
              <w:bottom w:val="single" w:color="CCCCCC" w:sz="1"/>
              <w:right w:val="single" w:color="CCCCCC" w:sz="1"/>
            </w:tcBorders>
            <w:shd w:fill="2E5FA3" w:val="clear"/>
            <w:tcMar>
              <w:top w:type="dxa" w:w="80"/>
              <w:left w:type="dxa" w:w="160"/>
              <w:bottom w:type="dxa" w:w="80"/>
              <w:right w:type="dxa" w:w="160"/>
            </w:tcMar>
          </w:tcPr>
          <w:p>
            <w:pPr>
              <w:jc w:val="center"/>
            </w:pPr>
            <w:r>
              <w:rPr>
                <w:b/>
                <w:bCs/>
                <w:color w:val="FFFFFF"/>
                <w:sz w:val="20"/>
                <w:szCs w:val="20"/>
              </w:rPr>
              <w:t xml:space="preserve">RMSE (€/MWh)</w:t>
            </w:r>
          </w:p>
        </w:tc>
        <w:tc>
          <w:tcPr>
            <w:tcW w:type="dxa" w:w="2026"/>
            <w:tcBorders>
              <w:top w:val="single" w:color="CCCCCC" w:sz="1"/>
              <w:left w:val="single" w:color="CCCCCC" w:sz="1"/>
              <w:bottom w:val="single" w:color="CCCCCC" w:sz="1"/>
              <w:right w:val="single" w:color="CCCCCC" w:sz="1"/>
            </w:tcBorders>
            <w:shd w:fill="2E5FA3" w:val="clear"/>
            <w:tcMar>
              <w:top w:type="dxa" w:w="80"/>
              <w:left w:type="dxa" w:w="160"/>
              <w:bottom w:type="dxa" w:w="80"/>
              <w:right w:type="dxa" w:w="160"/>
            </w:tcMar>
          </w:tcPr>
          <w:p>
            <w:pPr>
              <w:jc w:val="center"/>
            </w:pPr>
            <w:r>
              <w:rPr>
                <w:b/>
                <w:bCs/>
                <w:color w:val="FFFFFF"/>
                <w:sz w:val="20"/>
                <w:szCs w:val="20"/>
              </w:rPr>
              <w:t xml:space="preserve">R²</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jc w:val="left"/>
            </w:pPr>
            <w:r>
              <w:rPr>
                <w:b w:val="false"/>
                <w:bCs w:val="false"/>
                <w:color w:val="333333"/>
                <w:sz w:val="20"/>
                <w:szCs w:val="20"/>
              </w:rPr>
              <w:t xml:space="preserve">Naive (benchmark)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jc w:val="center"/>
            </w:pPr>
            <w:r>
              <w:rPr>
                <w:b w:val="false"/>
                <w:bCs w:val="false"/>
                <w:color w:val="333333"/>
                <w:sz w:val="20"/>
                <w:szCs w:val="20"/>
              </w:rPr>
              <w:t xml:space="preserve">20.37</w:t>
            </w:r>
          </w:p>
        </w:tc>
        <w:tc>
          <w:tcPr>
            <w:tcW w:type="dxa" w:w="2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jc w:val="center"/>
            </w:pPr>
            <w:r>
              <w:rPr>
                <w:b w:val="false"/>
                <w:bCs w:val="false"/>
                <w:color w:val="333333"/>
                <w:sz w:val="20"/>
                <w:szCs w:val="20"/>
              </w:rPr>
              <w:t xml:space="preserve">28.37</w:t>
            </w:r>
          </w:p>
        </w:tc>
        <w:tc>
          <w:tcPr>
            <w:tcW w:type="dxa" w:w="2026"/>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jc w:val="center"/>
            </w:pPr>
            <w:r>
              <w:rPr>
                <w:b w:val="false"/>
                <w:bCs w:val="false"/>
                <w:color w:val="333333"/>
                <w:sz w:val="20"/>
                <w:szCs w:val="20"/>
              </w:rPr>
              <w:t xml:space="preserve">0.514</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60"/>
              <w:bottom w:type="dxa" w:w="80"/>
              <w:right w:type="dxa" w:w="160"/>
            </w:tcMar>
          </w:tcPr>
          <w:p>
            <w:pPr>
              <w:jc w:val="left"/>
            </w:pPr>
            <w:r>
              <w:rPr>
                <w:b w:val="false"/>
                <w:bCs w:val="false"/>
                <w:color w:val="333333"/>
                <w:sz w:val="20"/>
                <w:szCs w:val="20"/>
              </w:rPr>
              <w:t xml:space="preserve">Random Forest</w:t>
            </w:r>
          </w:p>
        </w:tc>
        <w:tc>
          <w:tcPr>
            <w:tcW w:type="dxa" w:w="2000"/>
            <w:tcBorders>
              <w:top w:val="single" w:color="CCCCCC" w:sz="1"/>
              <w:left w:val="single" w:color="CCCCCC" w:sz="1"/>
              <w:bottom w:val="single" w:color="CCCCCC" w:sz="1"/>
              <w:right w:val="single" w:color="CCCCCC" w:sz="1"/>
            </w:tcBorders>
            <w:shd w:fill="F0F4FA" w:val="clear"/>
            <w:tcMar>
              <w:top w:type="dxa" w:w="80"/>
              <w:left w:type="dxa" w:w="160"/>
              <w:bottom w:type="dxa" w:w="80"/>
              <w:right w:type="dxa" w:w="160"/>
            </w:tcMar>
          </w:tcPr>
          <w:p>
            <w:pPr>
              <w:jc w:val="center"/>
            </w:pPr>
            <w:r>
              <w:rPr>
                <w:b w:val="false"/>
                <w:bCs w:val="false"/>
                <w:color w:val="333333"/>
                <w:sz w:val="20"/>
                <w:szCs w:val="20"/>
              </w:rPr>
              <w:t xml:space="preserve">15.71</w:t>
            </w:r>
          </w:p>
        </w:tc>
        <w:tc>
          <w:tcPr>
            <w:tcW w:type="dxa" w:w="2000"/>
            <w:tcBorders>
              <w:top w:val="single" w:color="CCCCCC" w:sz="1"/>
              <w:left w:val="single" w:color="CCCCCC" w:sz="1"/>
              <w:bottom w:val="single" w:color="CCCCCC" w:sz="1"/>
              <w:right w:val="single" w:color="CCCCCC" w:sz="1"/>
            </w:tcBorders>
            <w:shd w:fill="F0F4FA" w:val="clear"/>
            <w:tcMar>
              <w:top w:type="dxa" w:w="80"/>
              <w:left w:type="dxa" w:w="160"/>
              <w:bottom w:type="dxa" w:w="80"/>
              <w:right w:type="dxa" w:w="160"/>
            </w:tcMar>
          </w:tcPr>
          <w:p>
            <w:pPr>
              <w:jc w:val="center"/>
            </w:pPr>
            <w:r>
              <w:rPr>
                <w:b w:val="false"/>
                <w:bCs w:val="false"/>
                <w:color w:val="333333"/>
                <w:sz w:val="20"/>
                <w:szCs w:val="20"/>
              </w:rPr>
              <w:t xml:space="preserve">20.80</w:t>
            </w:r>
          </w:p>
        </w:tc>
        <w:tc>
          <w:tcPr>
            <w:tcW w:type="dxa" w:w="2026"/>
            <w:tcBorders>
              <w:top w:val="single" w:color="CCCCCC" w:sz="1"/>
              <w:left w:val="single" w:color="CCCCCC" w:sz="1"/>
              <w:bottom w:val="single" w:color="CCCCCC" w:sz="1"/>
              <w:right w:val="single" w:color="CCCCCC" w:sz="1"/>
            </w:tcBorders>
            <w:shd w:fill="F0F4FA" w:val="clear"/>
            <w:tcMar>
              <w:top w:type="dxa" w:w="80"/>
              <w:left w:type="dxa" w:w="160"/>
              <w:bottom w:type="dxa" w:w="80"/>
              <w:right w:type="dxa" w:w="160"/>
            </w:tcMar>
          </w:tcPr>
          <w:p>
            <w:pPr>
              <w:jc w:val="center"/>
            </w:pPr>
            <w:r>
              <w:rPr>
                <w:b w:val="false"/>
                <w:bCs w:val="false"/>
                <w:color w:val="333333"/>
                <w:sz w:val="20"/>
                <w:szCs w:val="20"/>
              </w:rPr>
              <w:t xml:space="preserve">0.739</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jc w:val="left"/>
            </w:pPr>
            <w:r>
              <w:rPr>
                <w:b w:val="false"/>
                <w:bCs w:val="false"/>
                <w:color w:val="333333"/>
                <w:sz w:val="20"/>
                <w:szCs w:val="20"/>
              </w:rPr>
              <w:t xml:space="preserve">XGBoost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jc w:val="center"/>
            </w:pPr>
            <w:r>
              <w:rPr>
                <w:b w:val="false"/>
                <w:bCs w:val="false"/>
                <w:color w:val="333333"/>
                <w:sz w:val="20"/>
                <w:szCs w:val="20"/>
              </w:rPr>
              <w:t xml:space="preserve">15.36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jc w:val="center"/>
            </w:pPr>
            <w:r>
              <w:rPr>
                <w:b w:val="false"/>
                <w:bCs w:val="false"/>
                <w:color w:val="333333"/>
                <w:sz w:val="20"/>
                <w:szCs w:val="20"/>
              </w:rPr>
              <w:t xml:space="preserve">20.11</w:t>
            </w:r>
          </w:p>
        </w:tc>
        <w:tc>
          <w:tcPr>
            <w:tcW w:type="dxa" w:w="2026"/>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jc w:val="center"/>
            </w:pPr>
            <w:r>
              <w:rPr>
                <w:b w:val="false"/>
                <w:bCs w:val="false"/>
                <w:color w:val="333333"/>
                <w:sz w:val="20"/>
                <w:szCs w:val="20"/>
              </w:rPr>
              <w:t xml:space="preserve">0.756</w:t>
            </w:r>
          </w:p>
        </w:tc>
      </w:tr>
    </w:tbl>
    <w:p>
      <w:pPr>
        <w:spacing w:after="80" w:before="120"/>
      </w:pPr>
    </w:p>
    <w:p>
      <w:pPr>
        <w:spacing w:after="100" w:before="80"/>
      </w:pPr>
      <w:r>
        <w:rPr>
          <w:sz w:val="22"/>
          <w:szCs w:val="22"/>
        </w:rPr>
        <w:t xml:space="preserve">Both tree-based models substantially outperform the naive benchmark, reducing MAE by ~25% and improving R² by over 24 percentage points. XGBoost achieves marginally better performance across all metrics (MAE: 15.36 vs 15.71, R²: 0.756 vs 0.739).</w:t>
      </w:r>
    </w:p>
    <w:p>
      <w:pPr>
        <w:spacing w:before="120"/>
      </w:pPr>
    </w:p>
    <w:p>
      <w:pPr>
        <w:jc w:val="center"/>
      </w:pPr>
      <w:r>
        <w:drawing>
          <wp:inline distT="0" distB="0" distL="0" distR="0">
            <wp:extent cx="5334000" cy="1905000"/>
            <wp:effectExtent t="0" r="0" b="0" l="0"/>
            <wp:docPr id="1" name="model_comparison.png" descr="model_comparison.png" title="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05000"/>
                    </a:xfrm>
                    <a:prstGeom prst="rect">
                      <a:avLst/>
                    </a:prstGeom>
                  </pic:spPr>
                </pic:pic>
              </a:graphicData>
            </a:graphic>
          </wp:inline>
        </w:drawing>
      </w:r>
    </w:p>
    <w:p>
      <w:pPr>
        <w:spacing w:after="200" w:before="60"/>
        <w:jc w:val="center"/>
      </w:pPr>
      <w:r>
        <w:rPr>
          <w:i/>
          <w:iCs/>
          <w:color w:val="555555"/>
          <w:sz w:val="18"/>
          <w:szCs w:val="18"/>
        </w:rPr>
        <w:t xml:space="preserve">Figure 1 — MAE, RMSE, and R² comparison across all models on the 2024 test set.</w:t>
      </w:r>
    </w:p>
    <w:p>
      <w:r>
        <w:br w:type="page"/>
      </w:r>
    </w:p>
    <w:p>
      <w:pPr>
        <w:pStyle w:val="Heading2"/>
        <w:spacing w:after="100" w:before="200"/>
      </w:pPr>
      <w:r>
        <w:rPr>
          <w:b/>
          <w:bCs/>
          <w:color w:val="2E5FA3"/>
          <w:sz w:val="24"/>
          <w:szCs w:val="24"/>
        </w:rPr>
        <w:t xml:space="preserve">3.2 Forecast vs Actual</w:t>
      </w:r>
    </w:p>
    <w:p>
      <w:pPr>
        <w:spacing w:after="100" w:before="80"/>
      </w:pPr>
      <w:r>
        <w:rPr>
          <w:sz w:val="22"/>
          <w:szCs w:val="22"/>
        </w:rPr>
        <w:t xml:space="preserve">Figure 2 shows the first month of the test set. Both models track the general price pattern well, including the intra-week structure and daily peaks. Errors are largest during sudden price spikes driven by unforeseeable events (plant outages, gas supply shocks).</w:t>
      </w:r>
    </w:p>
    <w:p>
      <w:pPr>
        <w:spacing w:before="80"/>
      </w:pPr>
    </w:p>
    <w:p>
      <w:pPr>
        <w:jc w:val="center"/>
      </w:pPr>
      <w:r>
        <w:drawing>
          <wp:inline distT="0" distB="0" distL="0" distR="0">
            <wp:extent cx="5334000" cy="2476500"/>
            <wp:effectExtent t="0" r="0" b="0" l="0"/>
            <wp:docPr id="1" name="forecast_vs_actual.png" descr="forecast_vs_actual.png" title="forecast_vs_actu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76500"/>
                    </a:xfrm>
                    <a:prstGeom prst="rect">
                      <a:avLst/>
                    </a:prstGeom>
                  </pic:spPr>
                </pic:pic>
              </a:graphicData>
            </a:graphic>
          </wp:inline>
        </w:drawing>
      </w:r>
    </w:p>
    <w:p>
      <w:pPr>
        <w:spacing w:after="200" w:before="60"/>
        <w:jc w:val="center"/>
      </w:pPr>
      <w:r>
        <w:rPr>
          <w:i/>
          <w:iCs/>
          <w:color w:val="555555"/>
          <w:sz w:val="18"/>
          <w:szCs w:val="18"/>
        </w:rPr>
        <w:t xml:space="preserve">Figure 2 — Forecast vs actual prices for the first month of the test set (January 2024).</w:t>
      </w:r>
    </w:p>
    <w:p>
      <w:pPr>
        <w:spacing w:before="120"/>
      </w:pPr>
    </w:p>
    <w:p>
      <w:pPr>
        <w:pStyle w:val="Heading2"/>
        <w:spacing w:after="100" w:before="200"/>
      </w:pPr>
      <w:r>
        <w:rPr>
          <w:b/>
          <w:bCs/>
          <w:color w:val="2E5FA3"/>
          <w:sz w:val="24"/>
          <w:szCs w:val="24"/>
        </w:rPr>
        <w:t xml:space="preserve">3.3 Error Distribution</w:t>
      </w:r>
    </w:p>
    <w:p>
      <w:pPr>
        <w:spacing w:after="100" w:before="80"/>
      </w:pPr>
      <w:r>
        <w:rPr>
          <w:sz w:val="22"/>
          <w:szCs w:val="22"/>
        </w:rPr>
        <w:t xml:space="preserve">Forecast errors are approximately centred at zero, confirming absence of systematic bias. The distribution has heavier tails for extreme price events — consistent with the known difficulty of forecasting price spikes driven by rare supply disruptions. XGBoost and RF exhibit very similar error profiles.</w:t>
      </w:r>
    </w:p>
    <w:p>
      <w:pPr>
        <w:spacing w:before="80"/>
      </w:pPr>
    </w:p>
    <w:p>
      <w:pPr>
        <w:jc w:val="center"/>
      </w:pPr>
      <w:r>
        <w:drawing>
          <wp:inline distT="0" distB="0" distL="0" distR="0">
            <wp:extent cx="5334000" cy="1905000"/>
            <wp:effectExtent t="0" r="0" b="0" l="0"/>
            <wp:docPr id="1" name="error_distribution.png" descr="error_distribution.png" title="error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05000"/>
                    </a:xfrm>
                    <a:prstGeom prst="rect">
                      <a:avLst/>
                    </a:prstGeom>
                  </pic:spPr>
                </pic:pic>
              </a:graphicData>
            </a:graphic>
          </wp:inline>
        </w:drawing>
      </w:r>
    </w:p>
    <w:p>
      <w:pPr>
        <w:spacing w:after="200" w:before="60"/>
        <w:jc w:val="center"/>
      </w:pPr>
      <w:r>
        <w:rPr>
          <w:i/>
          <w:iCs/>
          <w:color w:val="555555"/>
          <w:sz w:val="18"/>
          <w:szCs w:val="18"/>
        </w:rPr>
        <w:t xml:space="preserve">Figure 3 — Error distribution (left) and actual vs. predicted scatter plot (right).</w:t>
      </w:r>
    </w:p>
    <w:p>
      <w:r>
        <w:br w:type="page"/>
      </w:r>
    </w:p>
    <w:p>
      <w:pPr>
        <w:pStyle w:val="Heading2"/>
        <w:spacing w:after="100" w:before="200"/>
      </w:pPr>
      <w:r>
        <w:rPr>
          <w:b/>
          <w:bCs/>
          <w:color w:val="2E5FA3"/>
          <w:sz w:val="24"/>
          <w:szCs w:val="24"/>
        </w:rPr>
        <w:t xml:space="preserve">3.4 Temporal Stability — MAE by Month</w:t>
      </w:r>
    </w:p>
    <w:p>
      <w:pPr>
        <w:spacing w:after="100" w:before="80"/>
      </w:pPr>
      <w:r>
        <w:rPr>
          <w:sz w:val="22"/>
          <w:szCs w:val="22"/>
        </w:rPr>
        <w:t xml:space="preserve">Figure 4 decomposes test-set MAE by month. Both models show higher errors in winter months (January, February, December), where price volatility is greatest due to heating demand peaks. Performance is more stable in spring and summer. This motivates a potential extension: season-specific models or re-weighting of winter observations.</w:t>
      </w:r>
    </w:p>
    <w:p>
      <w:pPr>
        <w:spacing w:before="80"/>
      </w:pPr>
    </w:p>
    <w:p>
      <w:pPr>
        <w:jc w:val="center"/>
      </w:pPr>
      <w:r>
        <w:drawing>
          <wp:inline distT="0" distB="0" distL="0" distR="0">
            <wp:extent cx="5334000" cy="1762125"/>
            <wp:effectExtent t="0" r="0" b="0" l="0"/>
            <wp:docPr id="1" name="backtest_mae_by_month.png" descr="backtest_mae_by_month.png" title="backtest_mae_by_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762125"/>
                    </a:xfrm>
                    <a:prstGeom prst="rect">
                      <a:avLst/>
                    </a:prstGeom>
                  </pic:spPr>
                </pic:pic>
              </a:graphicData>
            </a:graphic>
          </wp:inline>
        </w:drawing>
      </w:r>
    </w:p>
    <w:p>
      <w:pPr>
        <w:spacing w:after="200" w:before="60"/>
        <w:jc w:val="center"/>
      </w:pPr>
      <w:r>
        <w:rPr>
          <w:i/>
          <w:iCs/>
          <w:color w:val="555555"/>
          <w:sz w:val="18"/>
          <w:szCs w:val="18"/>
        </w:rPr>
        <w:t xml:space="preserve">Figure 4 — MAE by month on the 2024 test set. Higher errors in winter reflect greater price volatility.</w:t>
      </w:r>
    </w:p>
    <w:p>
      <w:pPr>
        <w:spacing w:before="120"/>
      </w:pPr>
    </w:p>
    <w:p>
      <w:pPr>
        <w:pStyle w:val="Heading2"/>
        <w:spacing w:after="100" w:before="200"/>
      </w:pPr>
      <w:r>
        <w:rPr>
          <w:b/>
          <w:bCs/>
          <w:color w:val="2E5FA3"/>
          <w:sz w:val="24"/>
          <w:szCs w:val="24"/>
        </w:rPr>
        <w:t xml:space="preserve">3.5 Feature Importance</w:t>
      </w:r>
    </w:p>
    <w:p>
      <w:pPr>
        <w:spacing w:after="100" w:before="80"/>
      </w:pPr>
      <w:r>
        <w:rPr>
          <w:sz w:val="22"/>
          <w:szCs w:val="22"/>
        </w:rPr>
        <w:t xml:space="preserve">Figure 5 shows the top 20 features by Random Forest importance. Price lags dominate (T-24h, T-168h, rolling means), confirming strong auto-regressive structure. Among weather features, temperature (and derived HDD) and wind speed rank highly, validating the thesis hypothesis that weather is a significant driver of French day-ahead prices. The Weather Stress Index (WSI) also appears in the top 20, justifying its engineering.</w:t>
      </w:r>
    </w:p>
    <w:p>
      <w:pPr>
        <w:spacing w:before="80"/>
      </w:pPr>
    </w:p>
    <w:p>
      <w:pPr>
        <w:jc w:val="center"/>
      </w:pPr>
      <w:r>
        <w:drawing>
          <wp:inline distT="0" distB="0" distL="0" distR="0">
            <wp:extent cx="4572000" cy="2952750"/>
            <wp:effectExtent t="0" r="0" b="0" l="0"/>
            <wp:docPr id="1" name="feature_importance_rf.png" descr="feature_importance_rf.png" title="feature_importance_r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952750"/>
                    </a:xfrm>
                    <a:prstGeom prst="rect">
                      <a:avLst/>
                    </a:prstGeom>
                  </pic:spPr>
                </pic:pic>
              </a:graphicData>
            </a:graphic>
          </wp:inline>
        </w:drawing>
      </w:r>
    </w:p>
    <w:p>
      <w:pPr>
        <w:spacing w:after="200" w:before="60"/>
        <w:jc w:val="center"/>
      </w:pPr>
      <w:r>
        <w:rPr>
          <w:i/>
          <w:iCs/>
          <w:color w:val="555555"/>
          <w:sz w:val="18"/>
          <w:szCs w:val="18"/>
        </w:rPr>
        <w:t xml:space="preserve">Figure 5 — Top 20 feature importances (Random Forest). Red = weather features, blue = others.</w:t>
      </w:r>
    </w:p>
    <w:p>
      <w:r>
        <w:br w:type="page"/>
      </w:r>
    </w:p>
    <w:p>
      <w:pPr>
        <w:pStyle w:val="Heading1"/>
        <w:spacing w:after="120" w:before="300"/>
      </w:pPr>
      <w:r>
        <w:rPr>
          <w:b/>
          <w:bCs/>
          <w:color w:val="1F3864"/>
          <w:sz w:val="28"/>
          <w:szCs w:val="28"/>
        </w:rPr>
        <w:t xml:space="preserve">4. Discussion &amp; Limitations</w:t>
      </w:r>
    </w:p>
    <w:p>
      <w:pPr>
        <w:pStyle w:val="ListParagraph"/>
        <w:numPr>
          <w:ilvl w:val="0"/>
          <w:numId w:val="3"/>
        </w:numPr>
        <w:spacing w:after="80" w:before="80"/>
      </w:pPr>
      <w:r>
        <w:rPr>
          <w:sz w:val="22"/>
          <w:szCs w:val="22"/>
        </w:rPr>
        <w:t xml:space="preserve">Price spike forecasting: both models underestimate extreme price events (&gt;200 €/MWh). A dedicated spike classifier or quantile regression extension could improve tail performance.</w:t>
      </w:r>
    </w:p>
    <w:p>
      <w:pPr>
        <w:pStyle w:val="ListParagraph"/>
        <w:numPr>
          <w:ilvl w:val="0"/>
          <w:numId w:val="3"/>
        </w:numPr>
        <w:spacing w:after="80" w:before="80"/>
      </w:pPr>
      <w:r>
        <w:rPr>
          <w:sz w:val="22"/>
          <w:szCs w:val="22"/>
        </w:rPr>
        <w:t xml:space="preserve">MAPE unreliability: MAPE is very high due to near-zero and negative prices in the denominator. MAE and RMSE are the primary metrics for this market.</w:t>
      </w:r>
    </w:p>
    <w:p>
      <w:pPr>
        <w:pStyle w:val="ListParagraph"/>
        <w:numPr>
          <w:ilvl w:val="0"/>
          <w:numId w:val="3"/>
        </w:numPr>
        <w:spacing w:after="80" w:before="80"/>
      </w:pPr>
      <w:r>
        <w:rPr>
          <w:sz w:val="22"/>
          <w:szCs w:val="22"/>
        </w:rPr>
        <w:t xml:space="preserve">Static model: the model is trained once on 2018-2023. In production, periodic retraining (e.g. monthly) would be needed to adapt to structural market changes.</w:t>
      </w:r>
    </w:p>
    <w:p>
      <w:pPr>
        <w:pStyle w:val="ListParagraph"/>
        <w:numPr>
          <w:ilvl w:val="0"/>
          <w:numId w:val="3"/>
        </w:numPr>
        <w:spacing w:after="120" w:before="80"/>
      </w:pPr>
      <w:r>
        <w:rPr>
          <w:sz w:val="22"/>
          <w:szCs w:val="22"/>
        </w:rPr>
        <w:t xml:space="preserve">Missing fundamentals: cross-border flows and fuel price futures (TTF gas, EUA carbon) were not included and could further improve accuracy.</w:t>
      </w:r>
    </w:p>
    <w:p>
      <w:pPr>
        <w:pBdr>
          <w:bottom w:val="single" w:color="CCCCCC" w:sz="4"/>
        </w:pBdr>
        <w:spacing w:after="100" w:before="100"/>
      </w:pPr>
    </w:p>
    <w:p>
      <w:pPr>
        <w:pStyle w:val="Heading1"/>
        <w:spacing w:after="120" w:before="300"/>
      </w:pPr>
      <w:r>
        <w:rPr>
          <w:b/>
          <w:bCs/>
          <w:color w:val="1F3864"/>
          <w:sz w:val="28"/>
          <w:szCs w:val="28"/>
        </w:rPr>
        <w:t xml:space="preserve">5. Conclusion</w:t>
      </w:r>
    </w:p>
    <w:p>
      <w:pPr>
        <w:spacing w:after="100" w:before="80"/>
      </w:pPr>
      <w:r>
        <w:rPr>
          <w:sz w:val="22"/>
          <w:szCs w:val="22"/>
        </w:rPr>
        <w:t xml:space="preserve">Both Random Forest and XGBoost models significantly outperform the naive benchmark on 2024 out-of-sample data, achieving MAE around 15.4–15.7 €/MWh and R² of 0.74–0.76. Weather features — particularly temperature, wind speed, and the Weather Stress Index — contribute meaningfully to forecast accuracy alongside price lags and generation fundamentals. XGBoost is the recommended model for deployment given its marginally superior performance and faster training time.</w:t>
      </w:r>
    </w:p>
    <w:p>
      <w:pPr>
        <w:spacing w:before="120"/>
      </w:pPr>
    </w:p>
    <w:p>
      <w:pPr>
        <w:pBdr>
          <w:bottom w:val="single" w:color="CCCCCC" w:sz="4"/>
        </w:pBdr>
        <w:spacing w:after="100" w:before="100"/>
      </w:pPr>
    </w:p>
    <w:p>
      <w:pPr>
        <w:spacing w:before="120"/>
        <w:jc w:val="right"/>
      </w:pPr>
      <w:r>
        <w:rPr>
          <w:i/>
          <w:iCs/>
          <w:color w:val="888888"/>
          <w:sz w:val="18"/>
          <w:szCs w:val="18"/>
        </w:rPr>
        <w:t xml:space="preserve">Leo Camberleng — EDHEC MSc Data Analysis &amp; AI — May 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pBdr>
      <w:tabs>
        <w:tab w:val="right" w:pos="9026"/>
      </w:tabs>
    </w:pPr>
    <w:r>
      <w:rPr>
        <w:color w:val="555555"/>
        <w:sz w:val="18"/>
        <w:szCs w:val="18"/>
      </w:rPr>
      <w:t xml:space="preserve">Modelling Report — French Day-Ahead Power Prices</w:t>
    </w:r>
    <w:r>
      <w:rPr>
        <w:color w:val="555555"/>
        <w:sz w:val="18"/>
        <w:szCs w:val="18"/>
      </w:rPr>
      <w:t xml:space="preserve">	EDHEC MSc Data Analysis &amp;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5FA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75c58ebed72610b9a84d399e12bc096530bbbf.png"/><Relationship Id="rId10" Type="http://schemas.openxmlformats.org/officeDocument/2006/relationships/image" Target="media/6e4f53f83259bfaa5ca94b53cce77d2cd092910a.png"/><Relationship Id="rId11" Type="http://schemas.openxmlformats.org/officeDocument/2006/relationships/image" Target="media/3c4826db25dc5f5640c4df8c97be778fd43eddd0.png"/><Relationship Id="rId12" Type="http://schemas.openxmlformats.org/officeDocument/2006/relationships/image" Target="media/5df9e80ee280c039815ade18eefcc3e3f1f0645c.png"/><Relationship Id="rId13" Type="http://schemas.openxmlformats.org/officeDocument/2006/relationships/image" Target="media/76dea2a5f4657f3db9220a639f4b697b0e41024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2026-05-08T20:27:18.748Z</dcterms:created>
  <dcterms:modified xsi:type="dcterms:W3CDTF">2026-05-08T20:27:18.756Z</dcterms:modified>
</cp:coreProperties>
</file>

<file path=docProps/custom.xml><?xml version="1.0" encoding="utf-8"?>
<Properties xmlns="http://schemas.openxmlformats.org/officeDocument/2006/custom-properties" xmlns:vt="http://schemas.openxmlformats.org/officeDocument/2006/docPropsVTypes"/>
</file>