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b/>
          <w:bCs/>
          <w:color w:val="1F3864"/>
          <w:sz w:val="40"/>
          <w:szCs w:val="40"/>
        </w:rPr>
        <w:t xml:space="preserve">RAPPORT DE MODELISATION</w:t>
      </w:r>
    </w:p>
    <w:p>
      <w:pPr>
        <w:spacing w:after="60" w:before="0"/>
        <w:jc w:val="center"/>
      </w:pPr>
      <w:r>
        <w:rPr>
          <w:color w:val="2E5FA3"/>
          <w:sz w:val="28"/>
          <w:szCs w:val="28"/>
        </w:rPr>
        <w:t xml:space="preserve">Prevision des Prix Day-Ahead de l'Electricite Francaise</w:t>
      </w:r>
    </w:p>
    <w:p>
      <w:pPr>
        <w:spacing w:after="60" w:before="0"/>
        <w:jc w:val="center"/>
      </w:pPr>
      <w:r>
        <w:rPr>
          <w:i/>
          <w:iCs/>
          <w:color w:val="777777"/>
          <w:sz w:val="20"/>
          <w:szCs w:val="20"/>
        </w:rPr>
        <w:t xml:space="preserve">EDHEC MSc Data Analysis &amp; AI  --  Memoire de Master</w:t>
      </w:r>
    </w:p>
    <w:p>
      <w:pPr>
        <w:spacing w:after="300" w:before="0"/>
        <w:jc w:val="center"/>
      </w:pPr>
      <w:r>
        <w:rPr>
          <w:i/>
          <w:iCs/>
          <w:color w:val="999999"/>
          <w:sz w:val="18"/>
          <w:szCs w:val="18"/>
        </w:rPr>
        <w:t xml:space="preserve">Periode de test : mai 2024 - avril 2025 | Sources : ENTSO-E, ERA5, ENTSOE-py, Yahoo Finance</w:t>
      </w:r>
    </w:p>
    <w:p>
      <w:pPr>
        <w:pBdr>
          <w:bottom w:val="single" w:color="CCCCCC" w:sz="4"/>
        </w:pBdr>
        <w:spacing w:after="100" w:before="100"/>
      </w:pPr>
    </w:p>
    <w:p>
      <w:pPr>
        <w:pStyle w:val="Heading1"/>
        <w:spacing w:after="120" w:before="300"/>
      </w:pPr>
      <w:r>
        <w:rPr>
          <w:b/>
          <w:bCs/>
          <w:color w:val="1F3864"/>
          <w:sz w:val="28"/>
          <w:szCs w:val="28"/>
        </w:rPr>
        <w:t xml:space="preserve">1. Methodologie</w:t>
      </w:r>
    </w:p>
    <w:p>
      <w:pPr>
        <w:pStyle w:val="Heading2"/>
        <w:spacing w:after="100" w:before="200"/>
      </w:pPr>
      <w:r>
        <w:rPr>
          <w:b/>
          <w:bCs/>
          <w:color w:val="2E5FA3"/>
          <w:sz w:val="24"/>
          <w:szCs w:val="24"/>
        </w:rPr>
        <w:t xml:space="preserve">1.1 Formulation du probleme</w:t>
      </w:r>
    </w:p>
    <w:p>
      <w:pPr>
        <w:spacing w:after="100" w:before="80"/>
      </w:pPr>
      <w:r>
        <w:rPr>
          <w:sz w:val="22"/>
          <w:szCs w:val="22"/>
        </w:rPr>
        <w:t xml:space="preserve">L'objectif est de prevoir le prix day-ahead de l'electricite francaise (EPEX SPOT France) pour chaque heure du lendemain, en utilisant uniquement les informations disponibles avant la cloture du marche (~12h00 CET). Il s'agit d'un probleme de regression supervise sur serie temporelle a forte structure saisonniere, avec des prix variant de -100 a +3000 EUR/MWh selon les conditions de marche.</w:t>
      </w:r>
    </w:p>
    <w:p>
      <w:pPr>
        <w:pStyle w:val="Heading2"/>
        <w:spacing w:after="100" w:before="200"/>
      </w:pPr>
      <w:r>
        <w:rPr>
          <w:b/>
          <w:bCs/>
          <w:color w:val="2E5FA3"/>
          <w:sz w:val="24"/>
          <w:szCs w:val="24"/>
        </w:rPr>
        <w:t xml:space="preserve">1.2 Sources de donnees</w:t>
      </w:r>
    </w:p>
    <w:p>
      <w:pPr>
        <w:pStyle w:val="ListParagraph"/>
        <w:numPr>
          <w:ilvl w:val="0"/>
          <w:numId w:val="2"/>
        </w:numPr>
        <w:spacing w:after="60" w:before="60"/>
      </w:pPr>
      <w:r>
        <w:rPr>
          <w:sz w:val="22"/>
          <w:szCs w:val="22"/>
        </w:rPr>
        <w:t xml:space="preserve">Prix et fondamentaux electriques : ENTSO-E Transparency Platform (2018-2025)</w:t>
      </w:r>
    </w:p>
    <w:p>
      <w:pPr>
        <w:pStyle w:val="ListParagraph"/>
        <w:numPr>
          <w:ilvl w:val="0"/>
          <w:numId w:val="2"/>
        </w:numPr>
        <w:spacing w:after="60" w:before="60"/>
      </w:pPr>
      <w:r>
        <w:rPr>
          <w:sz w:val="22"/>
          <w:szCs w:val="22"/>
        </w:rPr>
        <w:t xml:space="preserve">Meteorologie : ERA5 reanalyse horaire (Copernicus CDS), France moyenne spatiale</w:t>
      </w:r>
    </w:p>
    <w:p>
      <w:pPr>
        <w:pStyle w:val="ListParagraph"/>
        <w:numPr>
          <w:ilvl w:val="0"/>
          <w:numId w:val="2"/>
        </w:numPr>
        <w:spacing w:after="60" w:before="60"/>
      </w:pPr>
      <w:r>
        <w:rPr>
          <w:sz w:val="22"/>
          <w:szCs w:val="22"/>
        </w:rPr>
        <w:t xml:space="preserve">Prix combustibles : TTF gaz naturel, EUA carbone, charbon ARA (Yahoo Finance / Reuters)</w:t>
      </w:r>
    </w:p>
    <w:p>
      <w:pPr>
        <w:pStyle w:val="ListParagraph"/>
        <w:numPr>
          <w:ilvl w:val="0"/>
          <w:numId w:val="2"/>
        </w:numPr>
        <w:spacing w:after="60" w:before="60"/>
      </w:pPr>
      <w:r>
        <w:rPr>
          <w:sz w:val="22"/>
          <w:szCs w:val="22"/>
        </w:rPr>
        <w:t xml:space="preserve">Flux transfrontaliers : echanges France-Allemagne, Espagne, Belgique, Royaume-Uni</w:t>
      </w:r>
    </w:p>
    <w:p>
      <w:pPr>
        <w:spacing w:after="100" w:before="80"/>
      </w:pPr>
    </w:p>
    <w:p>
      <w:pPr>
        <w:pStyle w:val="Heading2"/>
        <w:spacing w:after="100" w:before="200"/>
      </w:pPr>
      <w:r>
        <w:rPr>
          <w:b/>
          <w:bCs/>
          <w:color w:val="2E5FA3"/>
          <w:sz w:val="24"/>
          <w:szCs w:val="24"/>
        </w:rPr>
        <w:t xml:space="preserve">1.3 Feature Engineering</w:t>
      </w:r>
    </w:p>
    <w:p>
      <w:pPr>
        <w:spacing w:after="100" w:before="80"/>
      </w:pPr>
      <w:r>
        <w:rPr>
          <w:sz w:val="22"/>
          <w:szCs w:val="22"/>
        </w:rPr>
        <w:t xml:space="preserve">35 features ont ete construites a partir des quatre sources de donnees :</w:t>
      </w:r>
    </w:p>
    <w:p>
      <w:pPr>
        <w:pStyle w:val="ListParagraph"/>
        <w:numPr>
          <w:ilvl w:val="0"/>
          <w:numId w:val="2"/>
        </w:numPr>
        <w:spacing w:after="60" w:before="60"/>
      </w:pPr>
      <w:r>
        <w:rPr>
          <w:sz w:val="22"/>
          <w:szCs w:val="22"/>
        </w:rPr>
        <w:t xml:space="preserve">Calendrier : heure (sin/cos), jour de la semaine, mois (sin/cos), is_weekend</w:t>
      </w:r>
    </w:p>
    <w:p>
      <w:pPr>
        <w:pStyle w:val="ListParagraph"/>
        <w:numPr>
          <w:ilvl w:val="0"/>
          <w:numId w:val="2"/>
        </w:numPr>
        <w:spacing w:after="60" w:before="60"/>
      </w:pPr>
      <w:r>
        <w:rPr>
          <w:sz w:val="22"/>
          <w:szCs w:val="22"/>
        </w:rPr>
        <w:t xml:space="preserve">Lags de prix : T-24h, T-48h, T-168h, moyennes glissantes 24h et 168h</w:t>
      </w:r>
    </w:p>
    <w:p>
      <w:pPr>
        <w:pStyle w:val="ListParagraph"/>
        <w:numPr>
          <w:ilvl w:val="0"/>
          <w:numId w:val="2"/>
        </w:numPr>
        <w:spacing w:after="60" w:before="60"/>
      </w:pPr>
      <w:r>
        <w:rPr>
          <w:sz w:val="22"/>
          <w:szCs w:val="22"/>
        </w:rPr>
        <w:t xml:space="preserve">Fondamentaux : prevision de charge, generation nucleaire, gaz, hydro (fil+reservoir), solaire, eolien</w:t>
      </w:r>
    </w:p>
    <w:p>
      <w:pPr>
        <w:pStyle w:val="ListParagraph"/>
        <w:numPr>
          <w:ilvl w:val="0"/>
          <w:numId w:val="2"/>
        </w:numPr>
        <w:spacing w:after="60" w:before="60"/>
      </w:pPr>
      <w:r>
        <w:rPr>
          <w:sz w:val="22"/>
          <w:szCs w:val="22"/>
        </w:rPr>
        <w:t xml:space="preserve">Flux transfrontaliers nets : FR-DE, FR-ES, FR-GB, FR-BE</w:t>
      </w:r>
    </w:p>
    <w:p>
      <w:pPr>
        <w:pStyle w:val="ListParagraph"/>
        <w:numPr>
          <w:ilvl w:val="0"/>
          <w:numId w:val="2"/>
        </w:numPr>
        <w:spacing w:after="60" w:before="60"/>
      </w:pPr>
      <w:r>
        <w:rPr>
          <w:sz w:val="22"/>
          <w:szCs w:val="22"/>
        </w:rPr>
        <w:t xml:space="preserve">Prix combustibles : TTF (EUR/MWh), charbon ARA (EUR/t)</w:t>
      </w:r>
    </w:p>
    <w:p>
      <w:pPr>
        <w:pStyle w:val="ListParagraph"/>
        <w:numPr>
          <w:ilvl w:val="0"/>
          <w:numId w:val="2"/>
        </w:numPr>
        <w:spacing w:after="60" w:before="60"/>
      </w:pPr>
      <w:r>
        <w:rPr>
          <w:sz w:val="22"/>
          <w:szCs w:val="22"/>
        </w:rPr>
        <w:t xml:space="preserve">Meteo ERA5 : temperature, vitesse vent, rayonnement solaire, precipitations</w:t>
      </w:r>
    </w:p>
    <w:p>
      <w:pPr>
        <w:pStyle w:val="ListParagraph"/>
        <w:numPr>
          <w:ilvl w:val="0"/>
          <w:numId w:val="2"/>
        </w:numPr>
        <w:spacing w:after="60" w:before="60"/>
      </w:pPr>
      <w:r>
        <w:rPr>
          <w:sz w:val="22"/>
          <w:szCs w:val="22"/>
        </w:rPr>
        <w:t xml:space="preserve">Features derivees : HDD (seuil 17C - standard RTE France), CDD, proxy puissance eolienne</w:t>
      </w:r>
    </w:p>
    <w:p>
      <w:pPr>
        <w:pStyle w:val="ListParagraph"/>
        <w:numPr>
          <w:ilvl w:val="0"/>
          <w:numId w:val="2"/>
        </w:numPr>
        <w:spacing w:after="60" w:before="60"/>
      </w:pPr>
      <w:r>
        <w:rPr>
          <w:sz w:val="22"/>
          <w:szCs w:val="22"/>
        </w:rPr>
        <w:t xml:space="preserve">Ratio disponibilite nucleaire : gen_nucleaire / 63 000 MW capacite installee (RTE 2023)</w:t>
      </w:r>
    </w:p>
    <w:p>
      <w:pPr>
        <w:pStyle w:val="ListParagraph"/>
        <w:numPr>
          <w:ilvl w:val="0"/>
          <w:numId w:val="2"/>
        </w:numPr>
        <w:spacing w:after="60" w:before="60"/>
      </w:pPr>
      <w:r>
        <w:rPr>
          <w:sz w:val="22"/>
          <w:szCs w:val="22"/>
        </w:rPr>
        <w:t xml:space="preserve">Weather Stress Index : HDD / vitesse_vent (stress thermique x defaut eolien)</w:t>
      </w:r>
    </w:p>
    <w:p>
      <w:pPr>
        <w:pStyle w:val="ListParagraph"/>
        <w:numPr>
          <w:ilvl w:val="0"/>
          <w:numId w:val="2"/>
        </w:numPr>
        <w:spacing w:after="60" w:before="60"/>
      </w:pPr>
      <w:r>
        <w:rPr>
          <w:sz w:val="22"/>
          <w:szCs w:val="22"/>
        </w:rPr>
        <w:t xml:space="preserve">Clean Spark Spread (CSS) et Clean Dark Spread (CDS)</w:t>
      </w:r>
    </w:p>
    <w:p>
      <w:pPr>
        <w:spacing w:after="100" w:before="80"/>
      </w:pPr>
    </w:p>
    <w:p>
      <w:pPr>
        <w:pStyle w:val="Heading2"/>
        <w:spacing w:after="100" w:before="200"/>
      </w:pPr>
      <w:r>
        <w:rPr>
          <w:b/>
          <w:bCs/>
          <w:color w:val="2E5FA3"/>
          <w:sz w:val="24"/>
          <w:szCs w:val="24"/>
        </w:rPr>
        <w:t xml:space="preserve">1.4 Split Train / Test</w:t>
      </w:r>
    </w:p>
    <w:p>
      <w:pPr>
        <w:spacing w:after="100" w:before="80"/>
      </w:pPr>
      <w:r>
        <w:rPr>
          <w:sz w:val="22"/>
          <w:szCs w:val="22"/>
        </w:rPr>
        <w:t xml:space="preserve">Un split temporel strict est utilise pour eviter toute fuite de donnees (data leakage). Le modele est entraine sur 2018-2024 et evalue sur les 12 derniers mois (hors-echantillon strict).</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026"/>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jc w:val="left"/>
            </w:pPr>
            <w:r>
              <w:rPr>
                <w:b/>
                <w:bCs/>
                <w:color w:val="FFFFFF"/>
                <w:sz w:val="20"/>
                <w:szCs w:val="20"/>
              </w:rPr>
              <w:t xml:space="preserve">Ensemble</w:t>
            </w:r>
          </w:p>
        </w:tc>
        <w:tc>
          <w:tcPr>
            <w:tcW w:type="dxa" w:w="3500"/>
            <w:tcBorders>
              <w:top w:val="single" w:color="CCCCCC" w:sz="1"/>
              <w:left w:val="single" w:color="CCCCCC" w:sz="1"/>
              <w:bottom w:val="single" w:color="CCCCCC" w:sz="1"/>
              <w:right w:val="single" w:color="CCCCCC" w:sz="1"/>
            </w:tcBorders>
            <w:shd w:fill="2E5FA3" w:val="clear"/>
            <w:tcMar>
              <w:top w:type="dxa" w:w="80"/>
              <w:left w:type="dxa" w:w="160"/>
              <w:bottom w:type="dxa" w:w="80"/>
              <w:right w:type="dxa" w:w="160"/>
            </w:tcMar>
          </w:tcPr>
          <w:p>
            <w:pPr>
              <w:jc w:val="center"/>
            </w:pPr>
            <w:r>
              <w:rPr>
                <w:b/>
                <w:bCs/>
                <w:color w:val="FFFFFF"/>
                <w:sz w:val="20"/>
                <w:szCs w:val="20"/>
              </w:rPr>
              <w:t xml:space="preserve">Periode</w:t>
            </w:r>
          </w:p>
        </w:tc>
        <w:tc>
          <w:tcPr>
            <w:tcW w:type="dxa" w:w="2026"/>
            <w:tcBorders>
              <w:top w:val="single" w:color="CCCCCC" w:sz="1"/>
              <w:left w:val="single" w:color="CCCCCC" w:sz="1"/>
              <w:bottom w:val="single" w:color="CCCCCC" w:sz="1"/>
              <w:right w:val="single" w:color="CCCCCC" w:sz="1"/>
            </w:tcBorders>
            <w:shd w:fill="2E5FA3" w:val="clear"/>
            <w:tcMar>
              <w:top w:type="dxa" w:w="80"/>
              <w:left w:type="dxa" w:w="160"/>
              <w:bottom w:type="dxa" w:w="80"/>
              <w:right w:type="dxa" w:w="160"/>
            </w:tcMar>
          </w:tcPr>
          <w:p>
            <w:pPr>
              <w:jc w:val="center"/>
            </w:pPr>
            <w:r>
              <w:rPr>
                <w:b/>
                <w:bCs/>
                <w:color w:val="FFFFFF"/>
                <w:sz w:val="20"/>
                <w:szCs w:val="20"/>
              </w:rPr>
              <w:t xml:space="preserve">Heures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b w:val="false"/>
                <w:bCs w:val="false"/>
                <w:color w:val="333333"/>
                <w:sz w:val="20"/>
                <w:szCs w:val="20"/>
              </w:rPr>
              <w:t xml:space="preserve">Entrainement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b w:val="false"/>
                <w:bCs w:val="false"/>
                <w:color w:val="333333"/>
                <w:sz w:val="20"/>
                <w:szCs w:val="20"/>
              </w:rPr>
              <w:t xml:space="preserve">Janv. 2018 - Avr. 2024</w:t>
            </w:r>
          </w:p>
        </w:tc>
        <w:tc>
          <w:tcPr>
            <w:tcW w:type="dxa" w:w="2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b w:val="false"/>
                <w:bCs w:val="false"/>
                <w:color w:val="333333"/>
                <w:sz w:val="20"/>
                <w:szCs w:val="20"/>
              </w:rPr>
              <w:t xml:space="preserve">~55 200</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60"/>
              <w:bottom w:type="dxa" w:w="80"/>
              <w:right w:type="dxa" w:w="160"/>
            </w:tcMar>
          </w:tcPr>
          <w:p>
            <w:pPr>
              <w:jc w:val="left"/>
            </w:pPr>
            <w:r>
              <w:rPr>
                <w:b w:val="false"/>
                <w:bCs w:val="false"/>
                <w:color w:val="333333"/>
                <w:sz w:val="20"/>
                <w:szCs w:val="20"/>
              </w:rPr>
              <w:t xml:space="preserve">Test (hors-echantillon)</w:t>
            </w:r>
          </w:p>
        </w:tc>
        <w:tc>
          <w:tcPr>
            <w:tcW w:type="dxa" w:w="3500"/>
            <w:tcBorders>
              <w:top w:val="single" w:color="CCCCCC" w:sz="1"/>
              <w:left w:val="single" w:color="CCCCCC" w:sz="1"/>
              <w:bottom w:val="single" w:color="CCCCCC" w:sz="1"/>
              <w:right w:val="single" w:color="CCCCCC" w:sz="1"/>
            </w:tcBorders>
            <w:shd w:fill="F0F4FA" w:val="clear"/>
            <w:tcMar>
              <w:top w:type="dxa" w:w="80"/>
              <w:left w:type="dxa" w:w="160"/>
              <w:bottom w:type="dxa" w:w="80"/>
              <w:right w:type="dxa" w:w="160"/>
            </w:tcMar>
          </w:tcPr>
          <w:p>
            <w:pPr>
              <w:jc w:val="center"/>
            </w:pPr>
            <w:r>
              <w:rPr>
                <w:b w:val="false"/>
                <w:bCs w:val="false"/>
                <w:color w:val="333333"/>
                <w:sz w:val="20"/>
                <w:szCs w:val="20"/>
              </w:rPr>
              <w:t xml:space="preserve">Mai 2024 - Avr. 2025</w:t>
            </w:r>
          </w:p>
        </w:tc>
        <w:tc>
          <w:tcPr>
            <w:tcW w:type="dxa" w:w="2026"/>
            <w:tcBorders>
              <w:top w:val="single" w:color="CCCCCC" w:sz="1"/>
              <w:left w:val="single" w:color="CCCCCC" w:sz="1"/>
              <w:bottom w:val="single" w:color="CCCCCC" w:sz="1"/>
              <w:right w:val="single" w:color="CCCCCC" w:sz="1"/>
            </w:tcBorders>
            <w:shd w:fill="F0F4FA" w:val="clear"/>
            <w:tcMar>
              <w:top w:type="dxa" w:w="80"/>
              <w:left w:type="dxa" w:w="160"/>
              <w:bottom w:type="dxa" w:w="80"/>
              <w:right w:type="dxa" w:w="160"/>
            </w:tcMar>
          </w:tcPr>
          <w:p>
            <w:pPr>
              <w:jc w:val="center"/>
            </w:pPr>
            <w:r>
              <w:rPr>
                <w:b w:val="false"/>
                <w:bCs w:val="false"/>
                <w:color w:val="333333"/>
                <w:sz w:val="20"/>
                <w:szCs w:val="20"/>
              </w:rPr>
              <w:t xml:space="preserve">8 640</w:t>
            </w:r>
          </w:p>
        </w:tc>
      </w:tr>
    </w:tbl>
    <w:p>
      <w:r>
        <w:br w:type="page"/>
      </w:r>
    </w:p>
    <w:p>
      <w:pPr>
        <w:pStyle w:val="Heading1"/>
        <w:spacing w:after="120" w:before="300"/>
      </w:pPr>
      <w:r>
        <w:rPr>
          <w:b/>
          <w:bCs/>
          <w:color w:val="1F3864"/>
          <w:sz w:val="28"/>
          <w:szCs w:val="28"/>
        </w:rPr>
        <w:t xml:space="preserve">2. Modeles</w:t>
      </w:r>
    </w:p>
    <w:p>
      <w:pPr>
        <w:pStyle w:val="Heading2"/>
        <w:spacing w:after="100" w:before="200"/>
      </w:pPr>
      <w:r>
        <w:rPr>
          <w:b/>
          <w:bCs/>
          <w:color w:val="2E5FA3"/>
          <w:sz w:val="24"/>
          <w:szCs w:val="24"/>
        </w:rPr>
        <w:t xml:space="preserve">Modele A -- Benchmark naif (lag-168h)</w:t>
      </w:r>
    </w:p>
    <w:p>
      <w:pPr>
        <w:spacing w:after="100" w:before="80"/>
      </w:pPr>
      <w:r>
        <w:rPr>
          <w:sz w:val="22"/>
          <w:szCs w:val="22"/>
        </w:rPr>
        <w:t xml:space="preserve">Le modele naif predit le prix a l'heure h du jour D+1 egal au prix de l'heure h de la semaine precedente (D-7). Ce benchmark capture la saisonnalite hebdomadaire des prix, plus forte que la saisonnalite journaliere. Il constitue la barre minimale de performance que tout modele doit depasser.</w:t>
      </w:r>
    </w:p>
    <w:p>
      <w:pPr>
        <w:pStyle w:val="Heading2"/>
        <w:spacing w:after="100" w:before="200"/>
      </w:pPr>
      <w:r>
        <w:rPr>
          <w:b/>
          <w:bCs/>
          <w:color w:val="2E5FA3"/>
          <w:sz w:val="24"/>
          <w:szCs w:val="24"/>
        </w:rPr>
        <w:t xml:space="preserve">Modele B -- Random Forest sans meteo (ablation)</w:t>
      </w:r>
    </w:p>
    <w:p>
      <w:pPr>
        <w:spacing w:after="100" w:before="80"/>
      </w:pPr>
      <w:r>
        <w:rPr>
          <w:sz w:val="22"/>
          <w:szCs w:val="22"/>
        </w:rPr>
        <w:t xml:space="preserve">Un Random Forest (500 arbres, profondeur max. 10, min. 5 obs. par feuille) est entraine sans aucune feature meteorologique. Ce modele d'ablation permet de mesurer la valeur ajoutee de la meteo par rapport aux seuls fondamentaux de marche et lags de prix.</w:t>
      </w:r>
    </w:p>
    <w:p>
      <w:pPr>
        <w:pStyle w:val="Heading2"/>
        <w:spacing w:after="100" w:before="200"/>
      </w:pPr>
      <w:r>
        <w:rPr>
          <w:b/>
          <w:bCs/>
          <w:color w:val="2E5FA3"/>
          <w:sz w:val="24"/>
          <w:szCs w:val="24"/>
        </w:rPr>
        <w:t xml:space="preserve">Modele C -- Random Forest avec meteo (modele principal)</w:t>
      </w:r>
    </w:p>
    <w:p>
      <w:pPr>
        <w:spacing w:after="100" w:before="80"/>
      </w:pPr>
      <w:r>
        <w:rPr>
          <w:sz w:val="22"/>
          <w:szCs w:val="22"/>
        </w:rPr>
        <w:t xml:space="preserve">Le meme Random Forest entraine sur la matrice de features complete (35 variables incluant temperature, vent, HDD, WSI, etc.). Le Random Forest gere naturellement les interactions non-lineaires entre meteo et calendrier sans specification manuelle, est robuste aux outliers de prix, et fournit des importances de features interpretables.</w:t>
      </w:r>
    </w:p>
    <w:p>
      <w:pPr>
        <w:pStyle w:val="Heading2"/>
        <w:spacing w:after="100" w:before="200"/>
      </w:pPr>
      <w:r>
        <w:rPr>
          <w:b/>
          <w:bCs/>
          <w:color w:val="2E5FA3"/>
          <w:sz w:val="24"/>
          <w:szCs w:val="24"/>
        </w:rPr>
        <w:t xml:space="preserve">Modele D -- XGBoost avec meteo</w:t>
      </w:r>
    </w:p>
    <w:p>
      <w:pPr>
        <w:spacing w:after="100" w:before="80"/>
      </w:pPr>
      <w:r>
        <w:rPr>
          <w:sz w:val="22"/>
          <w:szCs w:val="22"/>
        </w:rPr>
        <w:t xml:space="preserve">Un modele XGBoost (500 estimateurs, taux d'apprentissage 0.05, profondeur 6, subsample 0.8) entraine sur le meme jeu de features que le Modele C. XGBoost exploite un mecanisme de correction d'erreur sequentielle et une regularisation L1/L2 integree, ce qui le rend generalement performant sur les donnees tabulaires.</w:t>
      </w:r>
    </w:p>
    <w:p>
      <w:pPr>
        <w:pStyle w:val="Heading1"/>
        <w:spacing w:after="120" w:before="300"/>
      </w:pPr>
      <w:r>
        <w:rPr>
          <w:b/>
          <w:bCs/>
          <w:color w:val="1F3864"/>
          <w:sz w:val="28"/>
          <w:szCs w:val="28"/>
        </w:rPr>
        <w:t xml:space="preserve">3. Resultats</w:t>
      </w:r>
    </w:p>
    <w:p>
      <w:pPr>
        <w:pStyle w:val="Heading2"/>
        <w:spacing w:after="100" w:before="200"/>
      </w:pPr>
      <w:r>
        <w:rPr>
          <w:b/>
          <w:bCs/>
          <w:color w:val="2E5FA3"/>
          <w:sz w:val="24"/>
          <w:szCs w:val="24"/>
        </w:rPr>
        <w:t xml:space="preserve">3.1 Performance sur le jeu de test</w:t>
      </w:r>
    </w:p>
    <w:p>
      <w:pPr>
        <w:spacing w:after="100" w:before="80"/>
      </w:pPr>
      <w:r>
        <w:rPr>
          <w:sz w:val="22"/>
          <w:szCs w:val="22"/>
        </w:rPr>
        <w:t xml:space="preserve">Tous les modeles sont evalues sur les 8 640 heures de la periode de test (mai 2024 - avril 2025, entierement hors-echantillon). Les metriques retenues sont le MAE (Mean Absolute Error), RMSE (Root Mean Square Error), sMAPE (Symmetric MAPE, robuste aux prix negatifs), R2 et le Hit Ratio (precision directionnelle).</w:t>
      </w:r>
    </w:p>
    <w:p>
      <w:pPr>
        <w:spacing w:after="100" w:before="1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700"/>
        <w:gridCol w:w="1500"/>
        <w:gridCol w:w="900"/>
        <w:gridCol w:w="100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jc w:val="left"/>
            </w:pPr>
            <w:r>
              <w:rPr>
                <w:b/>
                <w:bCs/>
                <w:color w:val="FFFFFF"/>
                <w:sz w:val="20"/>
                <w:szCs w:val="20"/>
              </w:rPr>
              <w:t xml:space="preserve">Modele</w:t>
            </w:r>
          </w:p>
        </w:tc>
        <w:tc>
          <w:tcPr>
            <w:tcW w:type="dxa" w:w="1600"/>
            <w:tcBorders>
              <w:top w:val="single" w:color="CCCCCC" w:sz="1"/>
              <w:left w:val="single" w:color="CCCCCC" w:sz="1"/>
              <w:bottom w:val="single" w:color="CCCCCC" w:sz="1"/>
              <w:right w:val="single" w:color="CCCCCC" w:sz="1"/>
            </w:tcBorders>
            <w:shd w:fill="2E5FA3" w:val="clear"/>
            <w:tcMar>
              <w:top w:type="dxa" w:w="80"/>
              <w:left w:type="dxa" w:w="160"/>
              <w:bottom w:type="dxa" w:w="80"/>
              <w:right w:type="dxa" w:w="160"/>
            </w:tcMar>
          </w:tcPr>
          <w:p>
            <w:pPr>
              <w:jc w:val="center"/>
            </w:pPr>
            <w:r>
              <w:rPr>
                <w:b/>
                <w:bCs/>
                <w:color w:val="FFFFFF"/>
                <w:sz w:val="20"/>
                <w:szCs w:val="20"/>
              </w:rPr>
              <w:t xml:space="preserve">MAE (EUR/MWh)</w:t>
            </w:r>
          </w:p>
        </w:tc>
        <w:tc>
          <w:tcPr>
            <w:tcW w:type="dxa" w:w="1700"/>
            <w:tcBorders>
              <w:top w:val="single" w:color="CCCCCC" w:sz="1"/>
              <w:left w:val="single" w:color="CCCCCC" w:sz="1"/>
              <w:bottom w:val="single" w:color="CCCCCC" w:sz="1"/>
              <w:right w:val="single" w:color="CCCCCC" w:sz="1"/>
            </w:tcBorders>
            <w:shd w:fill="2E5FA3" w:val="clear"/>
            <w:tcMar>
              <w:top w:type="dxa" w:w="80"/>
              <w:left w:type="dxa" w:w="160"/>
              <w:bottom w:type="dxa" w:w="80"/>
              <w:right w:type="dxa" w:w="160"/>
            </w:tcMar>
          </w:tcPr>
          <w:p>
            <w:pPr>
              <w:jc w:val="center"/>
            </w:pPr>
            <w:r>
              <w:rPr>
                <w:b/>
                <w:bCs/>
                <w:color w:val="FFFFFF"/>
                <w:sz w:val="20"/>
                <w:szCs w:val="20"/>
              </w:rPr>
              <w:t xml:space="preserve">RMSE (EUR/MWh)</w:t>
            </w:r>
          </w:p>
        </w:tc>
        <w:tc>
          <w:tcPr>
            <w:tcW w:type="dxa" w:w="1500"/>
            <w:tcBorders>
              <w:top w:val="single" w:color="CCCCCC" w:sz="1"/>
              <w:left w:val="single" w:color="CCCCCC" w:sz="1"/>
              <w:bottom w:val="single" w:color="CCCCCC" w:sz="1"/>
              <w:right w:val="single" w:color="CCCCCC" w:sz="1"/>
            </w:tcBorders>
            <w:shd w:fill="2E5FA3" w:val="clear"/>
            <w:tcMar>
              <w:top w:type="dxa" w:w="80"/>
              <w:left w:type="dxa" w:w="160"/>
              <w:bottom w:type="dxa" w:w="80"/>
              <w:right w:type="dxa" w:w="160"/>
            </w:tcMar>
          </w:tcPr>
          <w:p>
            <w:pPr>
              <w:jc w:val="center"/>
            </w:pPr>
            <w:r>
              <w:rPr>
                <w:b/>
                <w:bCs/>
                <w:color w:val="FFFFFF"/>
                <w:sz w:val="20"/>
                <w:szCs w:val="20"/>
              </w:rPr>
              <w:t xml:space="preserve">sMAPE (%)</w:t>
            </w:r>
          </w:p>
        </w:tc>
        <w:tc>
          <w:tcPr>
            <w:tcW w:type="dxa" w:w="900"/>
            <w:tcBorders>
              <w:top w:val="single" w:color="CCCCCC" w:sz="1"/>
              <w:left w:val="single" w:color="CCCCCC" w:sz="1"/>
              <w:bottom w:val="single" w:color="CCCCCC" w:sz="1"/>
              <w:right w:val="single" w:color="CCCCCC" w:sz="1"/>
            </w:tcBorders>
            <w:shd w:fill="2E5FA3" w:val="clear"/>
            <w:tcMar>
              <w:top w:type="dxa" w:w="80"/>
              <w:left w:type="dxa" w:w="160"/>
              <w:bottom w:type="dxa" w:w="80"/>
              <w:right w:type="dxa" w:w="160"/>
            </w:tcMar>
          </w:tcPr>
          <w:p>
            <w:pPr>
              <w:jc w:val="center"/>
            </w:pPr>
            <w:r>
              <w:rPr>
                <w:b/>
                <w:bCs/>
                <w:color w:val="FFFFFF"/>
                <w:sz w:val="20"/>
                <w:szCs w:val="20"/>
              </w:rPr>
              <w:t xml:space="preserve">R2</w:t>
            </w:r>
          </w:p>
        </w:tc>
        <w:tc>
          <w:tcPr>
            <w:tcW w:type="dxa" w:w="1000"/>
            <w:tcBorders>
              <w:top w:val="single" w:color="CCCCCC" w:sz="1"/>
              <w:left w:val="single" w:color="CCCCCC" w:sz="1"/>
              <w:bottom w:val="single" w:color="CCCCCC" w:sz="1"/>
              <w:right w:val="single" w:color="CCCCCC" w:sz="1"/>
            </w:tcBorders>
            <w:shd w:fill="2E5FA3" w:val="clear"/>
            <w:tcMar>
              <w:top w:type="dxa" w:w="80"/>
              <w:left w:type="dxa" w:w="160"/>
              <w:bottom w:type="dxa" w:w="80"/>
              <w:right w:type="dxa" w:w="160"/>
            </w:tcMar>
          </w:tcPr>
          <w:p>
            <w:pPr>
              <w:jc w:val="center"/>
            </w:pPr>
            <w:r>
              <w:rPr>
                <w:b/>
                <w:bCs/>
                <w:color w:val="FFFFFF"/>
                <w:sz w:val="20"/>
                <w:szCs w:val="20"/>
              </w:rPr>
              <w:t xml:space="preserve">Hit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b w:val="false"/>
                <w:bCs w:val="false"/>
                <w:color w:val="333333"/>
                <w:sz w:val="20"/>
                <w:szCs w:val="20"/>
              </w:rPr>
              <w:t xml:space="preserve">A -- Naif lag-168h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b w:val="false"/>
                <w:bCs w:val="false"/>
                <w:color w:val="333333"/>
                <w:sz w:val="20"/>
                <w:szCs w:val="20"/>
              </w:rPr>
              <w:t xml:space="preserve">33.09</w:t>
            </w:r>
          </w:p>
        </w:tc>
        <w:tc>
          <w:tcPr>
            <w:tcW w:type="dxa" w:w="1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b w:val="false"/>
                <w:bCs w:val="false"/>
                <w:color w:val="333333"/>
                <w:sz w:val="20"/>
                <w:szCs w:val="20"/>
              </w:rPr>
              <w:t xml:space="preserve">44.23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b w:val="false"/>
                <w:bCs w:val="false"/>
                <w:color w:val="333333"/>
                <w:sz w:val="20"/>
                <w:szCs w:val="20"/>
              </w:rPr>
              <w:t xml:space="preserve">70.9%</w:t>
            </w:r>
          </w:p>
        </w:tc>
        <w:tc>
          <w:tcPr>
            <w:tcW w:type="dxa" w:w="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b w:val="false"/>
                <w:bCs w:val="false"/>
                <w:color w:val="333333"/>
                <w:sz w:val="20"/>
                <w:szCs w:val="20"/>
              </w:rPr>
              <w:t xml:space="preserve">0.160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b w:val="false"/>
                <w:bCs w:val="false"/>
                <w:color w:val="333333"/>
                <w:sz w:val="20"/>
                <w:szCs w:val="20"/>
              </w:rPr>
              <w:t xml:space="preserve">59.6%</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60"/>
              <w:bottom w:type="dxa" w:w="80"/>
              <w:right w:type="dxa" w:w="160"/>
            </w:tcMar>
          </w:tcPr>
          <w:p>
            <w:pPr>
              <w:jc w:val="left"/>
            </w:pPr>
            <w:r>
              <w:rPr>
                <w:b w:val="false"/>
                <w:bCs w:val="false"/>
                <w:color w:val="333333"/>
                <w:sz w:val="20"/>
                <w:szCs w:val="20"/>
              </w:rPr>
              <w:t xml:space="preserve">B -- RF sans meteo</w:t>
            </w:r>
          </w:p>
        </w:tc>
        <w:tc>
          <w:tcPr>
            <w:tcW w:type="dxa" w:w="1600"/>
            <w:tcBorders>
              <w:top w:val="single" w:color="CCCCCC" w:sz="1"/>
              <w:left w:val="single" w:color="CCCCCC" w:sz="1"/>
              <w:bottom w:val="single" w:color="CCCCCC" w:sz="1"/>
              <w:right w:val="single" w:color="CCCCCC" w:sz="1"/>
            </w:tcBorders>
            <w:shd w:fill="F0F4FA" w:val="clear"/>
            <w:tcMar>
              <w:top w:type="dxa" w:w="80"/>
              <w:left w:type="dxa" w:w="160"/>
              <w:bottom w:type="dxa" w:w="80"/>
              <w:right w:type="dxa" w:w="160"/>
            </w:tcMar>
          </w:tcPr>
          <w:p>
            <w:pPr>
              <w:jc w:val="center"/>
            </w:pPr>
            <w:r>
              <w:rPr>
                <w:b w:val="false"/>
                <w:bCs w:val="false"/>
                <w:color w:val="333333"/>
                <w:sz w:val="20"/>
                <w:szCs w:val="20"/>
              </w:rPr>
              <w:t xml:space="preserve">16.95</w:t>
            </w:r>
          </w:p>
        </w:tc>
        <w:tc>
          <w:tcPr>
            <w:tcW w:type="dxa" w:w="1700"/>
            <w:tcBorders>
              <w:top w:val="single" w:color="CCCCCC" w:sz="1"/>
              <w:left w:val="single" w:color="CCCCCC" w:sz="1"/>
              <w:bottom w:val="single" w:color="CCCCCC" w:sz="1"/>
              <w:right w:val="single" w:color="CCCCCC" w:sz="1"/>
            </w:tcBorders>
            <w:shd w:fill="F0F4FA" w:val="clear"/>
            <w:tcMar>
              <w:top w:type="dxa" w:w="80"/>
              <w:left w:type="dxa" w:w="160"/>
              <w:bottom w:type="dxa" w:w="80"/>
              <w:right w:type="dxa" w:w="160"/>
            </w:tcMar>
          </w:tcPr>
          <w:p>
            <w:pPr>
              <w:jc w:val="center"/>
            </w:pPr>
            <w:r>
              <w:rPr>
                <w:b w:val="false"/>
                <w:bCs w:val="false"/>
                <w:color w:val="333333"/>
                <w:sz w:val="20"/>
                <w:szCs w:val="20"/>
              </w:rPr>
              <w:t xml:space="preserve">22.88</w:t>
            </w:r>
          </w:p>
        </w:tc>
        <w:tc>
          <w:tcPr>
            <w:tcW w:type="dxa" w:w="1500"/>
            <w:tcBorders>
              <w:top w:val="single" w:color="CCCCCC" w:sz="1"/>
              <w:left w:val="single" w:color="CCCCCC" w:sz="1"/>
              <w:bottom w:val="single" w:color="CCCCCC" w:sz="1"/>
              <w:right w:val="single" w:color="CCCCCC" w:sz="1"/>
            </w:tcBorders>
            <w:shd w:fill="F0F4FA" w:val="clear"/>
            <w:tcMar>
              <w:top w:type="dxa" w:w="80"/>
              <w:left w:type="dxa" w:w="160"/>
              <w:bottom w:type="dxa" w:w="80"/>
              <w:right w:type="dxa" w:w="160"/>
            </w:tcMar>
          </w:tcPr>
          <w:p>
            <w:pPr>
              <w:jc w:val="center"/>
            </w:pPr>
            <w:r>
              <w:rPr>
                <w:b w:val="false"/>
                <w:bCs w:val="false"/>
                <w:color w:val="333333"/>
                <w:sz w:val="20"/>
                <w:szCs w:val="20"/>
              </w:rPr>
              <w:t xml:space="preserve">44.2%</w:t>
            </w:r>
          </w:p>
        </w:tc>
        <w:tc>
          <w:tcPr>
            <w:tcW w:type="dxa" w:w="900"/>
            <w:tcBorders>
              <w:top w:val="single" w:color="CCCCCC" w:sz="1"/>
              <w:left w:val="single" w:color="CCCCCC" w:sz="1"/>
              <w:bottom w:val="single" w:color="CCCCCC" w:sz="1"/>
              <w:right w:val="single" w:color="CCCCCC" w:sz="1"/>
            </w:tcBorders>
            <w:shd w:fill="F0F4FA" w:val="clear"/>
            <w:tcMar>
              <w:top w:type="dxa" w:w="80"/>
              <w:left w:type="dxa" w:w="160"/>
              <w:bottom w:type="dxa" w:w="80"/>
              <w:right w:type="dxa" w:w="160"/>
            </w:tcMar>
          </w:tcPr>
          <w:p>
            <w:pPr>
              <w:jc w:val="center"/>
            </w:pPr>
            <w:r>
              <w:rPr>
                <w:b w:val="false"/>
                <w:bCs w:val="false"/>
                <w:color w:val="333333"/>
                <w:sz w:val="20"/>
                <w:szCs w:val="20"/>
              </w:rPr>
              <w:t xml:space="preserve">0.775</w:t>
            </w:r>
          </w:p>
        </w:tc>
        <w:tc>
          <w:tcPr>
            <w:tcW w:type="dxa" w:w="1000"/>
            <w:tcBorders>
              <w:top w:val="single" w:color="CCCCCC" w:sz="1"/>
              <w:left w:val="single" w:color="CCCCCC" w:sz="1"/>
              <w:bottom w:val="single" w:color="CCCCCC" w:sz="1"/>
              <w:right w:val="single" w:color="CCCCCC" w:sz="1"/>
            </w:tcBorders>
            <w:shd w:fill="F0F4FA" w:val="clear"/>
            <w:tcMar>
              <w:top w:type="dxa" w:w="80"/>
              <w:left w:type="dxa" w:w="160"/>
              <w:bottom w:type="dxa" w:w="80"/>
              <w:right w:type="dxa" w:w="160"/>
            </w:tcMar>
          </w:tcPr>
          <w:p>
            <w:pPr>
              <w:jc w:val="center"/>
            </w:pPr>
            <w:r>
              <w:rPr>
                <w:b w:val="false"/>
                <w:bCs w:val="false"/>
                <w:color w:val="333333"/>
                <w:sz w:val="20"/>
                <w:szCs w:val="20"/>
              </w:rPr>
              <w:t xml:space="preserve">65.5%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b w:val="false"/>
                <w:bCs w:val="false"/>
                <w:color w:val="333333"/>
                <w:sz w:val="20"/>
                <w:szCs w:val="20"/>
              </w:rPr>
              <w:t xml:space="preserve">C -- RF avec meteo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b w:val="false"/>
                <w:bCs w:val="false"/>
                <w:color w:val="333333"/>
                <w:sz w:val="20"/>
                <w:szCs w:val="20"/>
              </w:rPr>
              <w:t xml:space="preserve">16.94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b w:val="false"/>
                <w:bCs w:val="false"/>
                <w:color w:val="333333"/>
                <w:sz w:val="20"/>
                <w:szCs w:val="20"/>
              </w:rPr>
              <w:t xml:space="preserve">22.85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b w:val="false"/>
                <w:bCs w:val="false"/>
                <w:color w:val="333333"/>
                <w:sz w:val="20"/>
                <w:szCs w:val="20"/>
              </w:rPr>
              <w:t xml:space="preserve">44.2%</w:t>
            </w:r>
          </w:p>
        </w:tc>
        <w:tc>
          <w:tcPr>
            <w:tcW w:type="dxa" w:w="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b w:val="false"/>
                <w:bCs w:val="false"/>
                <w:color w:val="333333"/>
                <w:sz w:val="20"/>
                <w:szCs w:val="20"/>
              </w:rPr>
              <w:t xml:space="preserve">0.776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b w:val="false"/>
                <w:bCs w:val="false"/>
                <w:color w:val="333333"/>
                <w:sz w:val="20"/>
                <w:szCs w:val="20"/>
              </w:rPr>
              <w:t xml:space="preserve">65.4%</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60"/>
              <w:bottom w:type="dxa" w:w="80"/>
              <w:right w:type="dxa" w:w="160"/>
            </w:tcMar>
          </w:tcPr>
          <w:p>
            <w:pPr>
              <w:jc w:val="left"/>
            </w:pPr>
            <w:r>
              <w:rPr>
                <w:b w:val="false"/>
                <w:bCs w:val="false"/>
                <w:color w:val="333333"/>
                <w:sz w:val="20"/>
                <w:szCs w:val="20"/>
              </w:rPr>
              <w:t xml:space="preserve">D -- XGBoost avec meteo</w:t>
            </w:r>
          </w:p>
        </w:tc>
        <w:tc>
          <w:tcPr>
            <w:tcW w:type="dxa" w:w="1600"/>
            <w:tcBorders>
              <w:top w:val="single" w:color="CCCCCC" w:sz="1"/>
              <w:left w:val="single" w:color="CCCCCC" w:sz="1"/>
              <w:bottom w:val="single" w:color="CCCCCC" w:sz="1"/>
              <w:right w:val="single" w:color="CCCCCC" w:sz="1"/>
            </w:tcBorders>
            <w:shd w:fill="F0F4FA" w:val="clear"/>
            <w:tcMar>
              <w:top w:type="dxa" w:w="80"/>
              <w:left w:type="dxa" w:w="160"/>
              <w:bottom w:type="dxa" w:w="80"/>
              <w:right w:type="dxa" w:w="160"/>
            </w:tcMar>
          </w:tcPr>
          <w:p>
            <w:pPr>
              <w:jc w:val="center"/>
            </w:pPr>
            <w:r>
              <w:rPr>
                <w:b w:val="false"/>
                <w:bCs w:val="false"/>
                <w:color w:val="333333"/>
                <w:sz w:val="20"/>
                <w:szCs w:val="20"/>
              </w:rPr>
              <w:t xml:space="preserve">19.14</w:t>
            </w:r>
          </w:p>
        </w:tc>
        <w:tc>
          <w:tcPr>
            <w:tcW w:type="dxa" w:w="1700"/>
            <w:tcBorders>
              <w:top w:val="single" w:color="CCCCCC" w:sz="1"/>
              <w:left w:val="single" w:color="CCCCCC" w:sz="1"/>
              <w:bottom w:val="single" w:color="CCCCCC" w:sz="1"/>
              <w:right w:val="single" w:color="CCCCCC" w:sz="1"/>
            </w:tcBorders>
            <w:shd w:fill="F0F4FA" w:val="clear"/>
            <w:tcMar>
              <w:top w:type="dxa" w:w="80"/>
              <w:left w:type="dxa" w:w="160"/>
              <w:bottom w:type="dxa" w:w="80"/>
              <w:right w:type="dxa" w:w="160"/>
            </w:tcMar>
          </w:tcPr>
          <w:p>
            <w:pPr>
              <w:jc w:val="center"/>
            </w:pPr>
            <w:r>
              <w:rPr>
                <w:b w:val="false"/>
                <w:bCs w:val="false"/>
                <w:color w:val="333333"/>
                <w:sz w:val="20"/>
                <w:szCs w:val="20"/>
              </w:rPr>
              <w:t xml:space="preserve">28.18</w:t>
            </w:r>
          </w:p>
        </w:tc>
        <w:tc>
          <w:tcPr>
            <w:tcW w:type="dxa" w:w="1500"/>
            <w:tcBorders>
              <w:top w:val="single" w:color="CCCCCC" w:sz="1"/>
              <w:left w:val="single" w:color="CCCCCC" w:sz="1"/>
              <w:bottom w:val="single" w:color="CCCCCC" w:sz="1"/>
              <w:right w:val="single" w:color="CCCCCC" w:sz="1"/>
            </w:tcBorders>
            <w:shd w:fill="F0F4FA" w:val="clear"/>
            <w:tcMar>
              <w:top w:type="dxa" w:w="80"/>
              <w:left w:type="dxa" w:w="160"/>
              <w:bottom w:type="dxa" w:w="80"/>
              <w:right w:type="dxa" w:w="160"/>
            </w:tcMar>
          </w:tcPr>
          <w:p>
            <w:pPr>
              <w:jc w:val="center"/>
            </w:pPr>
            <w:r>
              <w:rPr>
                <w:b w:val="false"/>
                <w:bCs w:val="false"/>
                <w:color w:val="333333"/>
                <w:sz w:val="20"/>
                <w:szCs w:val="20"/>
              </w:rPr>
              <w:t xml:space="preserve">45.4%</w:t>
            </w:r>
          </w:p>
        </w:tc>
        <w:tc>
          <w:tcPr>
            <w:tcW w:type="dxa" w:w="900"/>
            <w:tcBorders>
              <w:top w:val="single" w:color="CCCCCC" w:sz="1"/>
              <w:left w:val="single" w:color="CCCCCC" w:sz="1"/>
              <w:bottom w:val="single" w:color="CCCCCC" w:sz="1"/>
              <w:right w:val="single" w:color="CCCCCC" w:sz="1"/>
            </w:tcBorders>
            <w:shd w:fill="F0F4FA" w:val="clear"/>
            <w:tcMar>
              <w:top w:type="dxa" w:w="80"/>
              <w:left w:type="dxa" w:w="160"/>
              <w:bottom w:type="dxa" w:w="80"/>
              <w:right w:type="dxa" w:w="160"/>
            </w:tcMar>
          </w:tcPr>
          <w:p>
            <w:pPr>
              <w:jc w:val="center"/>
            </w:pPr>
            <w:r>
              <w:rPr>
                <w:b w:val="false"/>
                <w:bCs w:val="false"/>
                <w:color w:val="333333"/>
                <w:sz w:val="20"/>
                <w:szCs w:val="20"/>
              </w:rPr>
              <w:t xml:space="preserve">0.659</w:t>
            </w:r>
          </w:p>
        </w:tc>
        <w:tc>
          <w:tcPr>
            <w:tcW w:type="dxa" w:w="1000"/>
            <w:tcBorders>
              <w:top w:val="single" w:color="CCCCCC" w:sz="1"/>
              <w:left w:val="single" w:color="CCCCCC" w:sz="1"/>
              <w:bottom w:val="single" w:color="CCCCCC" w:sz="1"/>
              <w:right w:val="single" w:color="CCCCCC" w:sz="1"/>
            </w:tcBorders>
            <w:shd w:fill="F0F4FA" w:val="clear"/>
            <w:tcMar>
              <w:top w:type="dxa" w:w="80"/>
              <w:left w:type="dxa" w:w="160"/>
              <w:bottom w:type="dxa" w:w="80"/>
              <w:right w:type="dxa" w:w="160"/>
            </w:tcMar>
          </w:tcPr>
          <w:p>
            <w:pPr>
              <w:jc w:val="center"/>
            </w:pPr>
            <w:r>
              <w:rPr>
                <w:b w:val="false"/>
                <w:bCs w:val="false"/>
                <w:color w:val="333333"/>
                <w:sz w:val="20"/>
                <w:szCs w:val="20"/>
              </w:rPr>
              <w:t xml:space="preserve">65.8%</w:t>
            </w:r>
          </w:p>
        </w:tc>
      </w:tr>
    </w:tbl>
    <w:p>
      <w:pPr>
        <w:spacing w:after="80" w:before="120"/>
      </w:pPr>
    </w:p>
    <w:p>
      <w:pPr>
        <w:spacing w:after="100" w:before="80"/>
      </w:pPr>
      <w:r>
        <w:rPr>
          <w:sz w:val="22"/>
          <w:szCs w:val="22"/>
        </w:rPr>
        <w:t xml:space="preserve">Les deux Random Forest (B et C) dominent largement le benchmark naif, reduisant le MAE de ~49% (33 vs 17 EUR/MWh) et ameliorant le R2 de 0.16 a 0.78. Fait notable : l'ajout de la meteo (C vs B) n'apporte qu'une amelioration marginale (+0.005 R2), suggere que les flux transfrontaliers, le prix du gaz TTF et la disponibilite nucleaire capturent deja la plupart de la variabilite liee aux conditions climatiques. XGBoost (D) sous-performe les Random Forests avec des hyperparametres standards, indiquant un potentiel de tuning.</w:t>
      </w:r>
    </w:p>
    <w:p>
      <w:pPr>
        <w:spacing w:before="120"/>
      </w:pPr>
    </w:p>
    <w:p>
      <w:pPr>
        <w:jc w:val="center"/>
      </w:pPr>
      <w:r>
        <w:drawing>
          <wp:inline distT="0" distB="0" distL="0" distR="0">
            <wp:extent cx="5334000" cy="1905000"/>
            <wp:effectExtent t="0" r="0" b="0" l="0"/>
            <wp:docPr id="1" name="model_comparison.png" descr="model_comparison.png" title="model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905000"/>
                    </a:xfrm>
                    <a:prstGeom prst="rect">
                      <a:avLst/>
                    </a:prstGeom>
                  </pic:spPr>
                </pic:pic>
              </a:graphicData>
            </a:graphic>
          </wp:inline>
        </w:drawing>
      </w:r>
    </w:p>
    <w:p>
      <w:pPr>
        <w:spacing w:after="200" w:before="60"/>
        <w:jc w:val="center"/>
      </w:pPr>
      <w:r>
        <w:rPr>
          <w:i/>
          <w:iCs/>
          <w:color w:val="555555"/>
          <w:sz w:val="18"/>
          <w:szCs w:val="18"/>
        </w:rPr>
        <w:t xml:space="preserve">Figure 1 -- MAE, RMSE, R2 et Hit Ratio des quatre modeles sur la periode de test (mai 2024 - avr. 2025).</w:t>
      </w:r>
    </w:p>
    <w:p>
      <w:r>
        <w:br w:type="page"/>
      </w:r>
    </w:p>
    <w:p>
      <w:pPr>
        <w:pStyle w:val="Heading2"/>
        <w:spacing w:after="100" w:before="200"/>
      </w:pPr>
      <w:r>
        <w:rPr>
          <w:b/>
          <w:bCs/>
          <w:color w:val="2E5FA3"/>
          <w:sz w:val="24"/>
          <w:szCs w:val="24"/>
        </w:rPr>
        <w:t xml:space="preserve">3.2 Tests de Diebold-Mariano (HLN 1997)</w:t>
      </w:r>
    </w:p>
    <w:p>
      <w:pPr>
        <w:spacing w:after="100" w:before="80"/>
      </w:pPr>
      <w:r>
        <w:rPr>
          <w:sz w:val="22"/>
          <w:szCs w:val="22"/>
        </w:rPr>
        <w:t xml:space="preserve">Le test de Diebold-Mariano (1995) avec correction Harvey-Leybourne-Newbold (1997) evalue si les differences de performance entre modeles sont statistiquement significatives. H0 : accuracy predictive egale entre les deux modeles (MAE-base). Une statistique DM negative signifie que le modele 1 est plus precis.</w:t>
      </w:r>
    </w:p>
    <w:p>
      <w:pPr>
        <w:spacing w:after="100" w:before="100"/>
      </w:pP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1200"/>
        <w:gridCol w:w="150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jc w:val="left"/>
            </w:pPr>
            <w:r>
              <w:rPr>
                <w:b/>
                <w:bCs/>
                <w:color w:val="FFFFFF"/>
                <w:sz w:val="20"/>
                <w:szCs w:val="20"/>
              </w:rPr>
              <w:t xml:space="preserve">Comparaison</w:t>
            </w:r>
          </w:p>
        </w:tc>
        <w:tc>
          <w:tcPr>
            <w:tcW w:type="dxa" w:w="1200"/>
            <w:tcBorders>
              <w:top w:val="single" w:color="CCCCCC" w:sz="1"/>
              <w:left w:val="single" w:color="CCCCCC" w:sz="1"/>
              <w:bottom w:val="single" w:color="CCCCCC" w:sz="1"/>
              <w:right w:val="single" w:color="CCCCCC" w:sz="1"/>
            </w:tcBorders>
            <w:shd w:fill="2E5FA3" w:val="clear"/>
            <w:tcMar>
              <w:top w:type="dxa" w:w="80"/>
              <w:left w:type="dxa" w:w="160"/>
              <w:bottom w:type="dxa" w:w="80"/>
              <w:right w:type="dxa" w:w="160"/>
            </w:tcMar>
          </w:tcPr>
          <w:p>
            <w:pPr>
              <w:jc w:val="center"/>
            </w:pPr>
            <w:r>
              <w:rPr>
                <w:b/>
                <w:bCs/>
                <w:color w:val="FFFFFF"/>
                <w:sz w:val="20"/>
                <w:szCs w:val="20"/>
              </w:rPr>
              <w:t xml:space="preserve">Stat. DM</w:t>
            </w:r>
          </w:p>
        </w:tc>
        <w:tc>
          <w:tcPr>
            <w:tcW w:type="dxa" w:w="1200"/>
            <w:tcBorders>
              <w:top w:val="single" w:color="CCCCCC" w:sz="1"/>
              <w:left w:val="single" w:color="CCCCCC" w:sz="1"/>
              <w:bottom w:val="single" w:color="CCCCCC" w:sz="1"/>
              <w:right w:val="single" w:color="CCCCCC" w:sz="1"/>
            </w:tcBorders>
            <w:shd w:fill="2E5FA3" w:val="clear"/>
            <w:tcMar>
              <w:top w:type="dxa" w:w="80"/>
              <w:left w:type="dxa" w:w="160"/>
              <w:bottom w:type="dxa" w:w="80"/>
              <w:right w:type="dxa" w:w="160"/>
            </w:tcMar>
          </w:tcPr>
          <w:p>
            <w:pPr>
              <w:jc w:val="center"/>
            </w:pPr>
            <w:r>
              <w:rPr>
                <w:b/>
                <w:bCs/>
                <w:color w:val="FFFFFF"/>
                <w:sz w:val="20"/>
                <w:szCs w:val="20"/>
              </w:rPr>
              <w:t xml:space="preserve">p-value</w:t>
            </w:r>
          </w:p>
        </w:tc>
        <w:tc>
          <w:tcPr>
            <w:tcW w:type="dxa" w:w="1500"/>
            <w:tcBorders>
              <w:top w:val="single" w:color="CCCCCC" w:sz="1"/>
              <w:left w:val="single" w:color="CCCCCC" w:sz="1"/>
              <w:bottom w:val="single" w:color="CCCCCC" w:sz="1"/>
              <w:right w:val="single" w:color="CCCCCC" w:sz="1"/>
            </w:tcBorders>
            <w:shd w:fill="2E5FA3" w:val="clear"/>
            <w:tcMar>
              <w:top w:type="dxa" w:w="80"/>
              <w:left w:type="dxa" w:w="160"/>
              <w:bottom w:type="dxa" w:w="80"/>
              <w:right w:type="dxa" w:w="160"/>
            </w:tcMar>
          </w:tcPr>
          <w:p>
            <w:pPr>
              <w:jc w:val="center"/>
            </w:pPr>
            <w:r>
              <w:rPr>
                <w:b/>
                <w:bCs/>
                <w:color w:val="FFFFFF"/>
                <w:sz w:val="20"/>
                <w:szCs w:val="20"/>
              </w:rPr>
              <w:t xml:space="preserve">Significativite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b w:val="false"/>
                <w:bCs w:val="false"/>
                <w:color w:val="333333"/>
                <w:sz w:val="20"/>
                <w:szCs w:val="20"/>
              </w:rPr>
              <w:t xml:space="preserve">C vs B : la meteo apporte-t-elle de la valeur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b w:val="false"/>
                <w:bCs w:val="false"/>
                <w:color w:val="333333"/>
                <w:sz w:val="20"/>
                <w:szCs w:val="20"/>
              </w:rPr>
              <w:t xml:space="preserve">-0.565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b w:val="false"/>
                <w:bCs w:val="false"/>
                <w:color w:val="333333"/>
                <w:sz w:val="20"/>
                <w:szCs w:val="20"/>
              </w:rPr>
              <w:t xml:space="preserve">0.572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b w:val="false"/>
                <w:bCs w:val="false"/>
                <w:color w:val="333333"/>
                <w:sz w:val="20"/>
                <w:szCs w:val="20"/>
              </w:rPr>
              <w:t xml:space="preserve">n.s.</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60"/>
              <w:bottom w:type="dxa" w:w="80"/>
              <w:right w:type="dxa" w:w="160"/>
            </w:tcMar>
          </w:tcPr>
          <w:p>
            <w:pPr>
              <w:jc w:val="left"/>
            </w:pPr>
            <w:r>
              <w:rPr>
                <w:b w:val="false"/>
                <w:bCs w:val="false"/>
                <w:color w:val="333333"/>
                <w:sz w:val="20"/>
                <w:szCs w:val="20"/>
              </w:rPr>
              <w:t xml:space="preserve">C vs A : RF-meteo bat-il le naif ?</w:t>
            </w:r>
          </w:p>
        </w:tc>
        <w:tc>
          <w:tcPr>
            <w:tcW w:type="dxa" w:w="1200"/>
            <w:tcBorders>
              <w:top w:val="single" w:color="CCCCCC" w:sz="1"/>
              <w:left w:val="single" w:color="CCCCCC" w:sz="1"/>
              <w:bottom w:val="single" w:color="CCCCCC" w:sz="1"/>
              <w:right w:val="single" w:color="CCCCCC" w:sz="1"/>
            </w:tcBorders>
            <w:shd w:fill="F0F4FA" w:val="clear"/>
            <w:tcMar>
              <w:top w:type="dxa" w:w="80"/>
              <w:left w:type="dxa" w:w="160"/>
              <w:bottom w:type="dxa" w:w="80"/>
              <w:right w:type="dxa" w:w="160"/>
            </w:tcMar>
          </w:tcPr>
          <w:p>
            <w:pPr>
              <w:jc w:val="center"/>
            </w:pPr>
            <w:r>
              <w:rPr>
                <w:b w:val="false"/>
                <w:bCs w:val="false"/>
                <w:color w:val="333333"/>
                <w:sz w:val="20"/>
                <w:szCs w:val="20"/>
              </w:rPr>
              <w:t xml:space="preserve">-53.53</w:t>
            </w:r>
          </w:p>
        </w:tc>
        <w:tc>
          <w:tcPr>
            <w:tcW w:type="dxa" w:w="1200"/>
            <w:tcBorders>
              <w:top w:val="single" w:color="CCCCCC" w:sz="1"/>
              <w:left w:val="single" w:color="CCCCCC" w:sz="1"/>
              <w:bottom w:val="single" w:color="CCCCCC" w:sz="1"/>
              <w:right w:val="single" w:color="CCCCCC" w:sz="1"/>
            </w:tcBorders>
            <w:shd w:fill="F0F4FA" w:val="clear"/>
            <w:tcMar>
              <w:top w:type="dxa" w:w="80"/>
              <w:left w:type="dxa" w:w="160"/>
              <w:bottom w:type="dxa" w:w="80"/>
              <w:right w:type="dxa" w:w="160"/>
            </w:tcMar>
          </w:tcPr>
          <w:p>
            <w:pPr>
              <w:jc w:val="center"/>
            </w:pPr>
            <w:r>
              <w:rPr>
                <w:b w:val="false"/>
                <w:bCs w:val="false"/>
                <w:color w:val="333333"/>
                <w:sz w:val="20"/>
                <w:szCs w:val="20"/>
              </w:rPr>
              <w:t xml:space="preserve">&lt; 0.001</w:t>
            </w:r>
          </w:p>
        </w:tc>
        <w:tc>
          <w:tcPr>
            <w:tcW w:type="dxa" w:w="1500"/>
            <w:tcBorders>
              <w:top w:val="single" w:color="CCCCCC" w:sz="1"/>
              <w:left w:val="single" w:color="CCCCCC" w:sz="1"/>
              <w:bottom w:val="single" w:color="CCCCCC" w:sz="1"/>
              <w:right w:val="single" w:color="CCCCCC" w:sz="1"/>
            </w:tcBorders>
            <w:shd w:fill="F0F4FA" w:val="clear"/>
            <w:tcMar>
              <w:top w:type="dxa" w:w="80"/>
              <w:left w:type="dxa" w:w="160"/>
              <w:bottom w:type="dxa" w:w="80"/>
              <w:right w:type="dxa" w:w="160"/>
            </w:tcMar>
          </w:tcPr>
          <w:p>
            <w:pPr>
              <w:jc w:val="center"/>
            </w:pPr>
            <w:r>
              <w:rPr>
                <w:b w:val="false"/>
                <w:bCs w:val="false"/>
                <w:color w:val="333333"/>
                <w:sz w:val="20"/>
                <w:szCs w:val="20"/>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b w:val="false"/>
                <w:bCs w:val="false"/>
                <w:color w:val="333333"/>
                <w:sz w:val="20"/>
                <w:szCs w:val="20"/>
              </w:rPr>
              <w:t xml:space="preserve">B vs A : RF sans meteo bat-il le naif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b w:val="false"/>
                <w:bCs w:val="false"/>
                <w:color w:val="333333"/>
                <w:sz w:val="20"/>
                <w:szCs w:val="20"/>
              </w:rPr>
              <w:t xml:space="preserve">-53.44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b w:val="false"/>
                <w:bCs w:val="false"/>
                <w:color w:val="333333"/>
                <w:sz w:val="20"/>
                <w:szCs w:val="20"/>
              </w:rPr>
              <w:t xml:space="preserve">&lt; 0.001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b w:val="false"/>
                <w:bCs w:val="false"/>
                <w:color w:val="333333"/>
                <w:sz w:val="20"/>
                <w:szCs w:val="20"/>
              </w:rPr>
              <w:t xml:space="preserve">***</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60"/>
              <w:bottom w:type="dxa" w:w="80"/>
              <w:right w:type="dxa" w:w="160"/>
            </w:tcMar>
          </w:tcPr>
          <w:p>
            <w:pPr>
              <w:jc w:val="left"/>
            </w:pPr>
            <w:r>
              <w:rPr>
                <w:b w:val="false"/>
                <w:bCs w:val="false"/>
                <w:color w:val="333333"/>
                <w:sz w:val="20"/>
                <w:szCs w:val="20"/>
              </w:rPr>
              <w:t xml:space="preserve">D vs C : XGBoost vs RF-meteo ?</w:t>
            </w:r>
          </w:p>
        </w:tc>
        <w:tc>
          <w:tcPr>
            <w:tcW w:type="dxa" w:w="1200"/>
            <w:tcBorders>
              <w:top w:val="single" w:color="CCCCCC" w:sz="1"/>
              <w:left w:val="single" w:color="CCCCCC" w:sz="1"/>
              <w:bottom w:val="single" w:color="CCCCCC" w:sz="1"/>
              <w:right w:val="single" w:color="CCCCCC" w:sz="1"/>
            </w:tcBorders>
            <w:shd w:fill="F0F4FA" w:val="clear"/>
            <w:tcMar>
              <w:top w:type="dxa" w:w="80"/>
              <w:left w:type="dxa" w:w="160"/>
              <w:bottom w:type="dxa" w:w="80"/>
              <w:right w:type="dxa" w:w="160"/>
            </w:tcMar>
          </w:tcPr>
          <w:p>
            <w:pPr>
              <w:jc w:val="center"/>
            </w:pPr>
            <w:r>
              <w:rPr>
                <w:b w:val="false"/>
                <w:bCs w:val="false"/>
                <w:color w:val="333333"/>
                <w:sz w:val="20"/>
                <w:szCs w:val="20"/>
              </w:rPr>
              <w:t xml:space="preserve">+10.88</w:t>
            </w:r>
          </w:p>
        </w:tc>
        <w:tc>
          <w:tcPr>
            <w:tcW w:type="dxa" w:w="1200"/>
            <w:tcBorders>
              <w:top w:val="single" w:color="CCCCCC" w:sz="1"/>
              <w:left w:val="single" w:color="CCCCCC" w:sz="1"/>
              <w:bottom w:val="single" w:color="CCCCCC" w:sz="1"/>
              <w:right w:val="single" w:color="CCCCCC" w:sz="1"/>
            </w:tcBorders>
            <w:shd w:fill="F0F4FA" w:val="clear"/>
            <w:tcMar>
              <w:top w:type="dxa" w:w="80"/>
              <w:left w:type="dxa" w:w="160"/>
              <w:bottom w:type="dxa" w:w="80"/>
              <w:right w:type="dxa" w:w="160"/>
            </w:tcMar>
          </w:tcPr>
          <w:p>
            <w:pPr>
              <w:jc w:val="center"/>
            </w:pPr>
            <w:r>
              <w:rPr>
                <w:b w:val="false"/>
                <w:bCs w:val="false"/>
                <w:color w:val="333333"/>
                <w:sz w:val="20"/>
                <w:szCs w:val="20"/>
              </w:rPr>
              <w:t xml:space="preserve">&lt; 0.001</w:t>
            </w:r>
          </w:p>
        </w:tc>
        <w:tc>
          <w:tcPr>
            <w:tcW w:type="dxa" w:w="1500"/>
            <w:tcBorders>
              <w:top w:val="single" w:color="CCCCCC" w:sz="1"/>
              <w:left w:val="single" w:color="CCCCCC" w:sz="1"/>
              <w:bottom w:val="single" w:color="CCCCCC" w:sz="1"/>
              <w:right w:val="single" w:color="CCCCCC" w:sz="1"/>
            </w:tcBorders>
            <w:shd w:fill="F0F4FA" w:val="clear"/>
            <w:tcMar>
              <w:top w:type="dxa" w:w="80"/>
              <w:left w:type="dxa" w:w="160"/>
              <w:bottom w:type="dxa" w:w="80"/>
              <w:right w:type="dxa" w:w="160"/>
            </w:tcMar>
          </w:tcPr>
          <w:p>
            <w:pPr>
              <w:jc w:val="center"/>
            </w:pPr>
            <w:r>
              <w:rPr>
                <w:b w:val="false"/>
                <w:bCs w:val="false"/>
                <w:color w:val="333333"/>
                <w:sz w:val="20"/>
                <w:szCs w:val="20"/>
              </w:rPr>
              <w:t xml:space="preserve">***</w:t>
            </w:r>
          </w:p>
        </w:tc>
      </w:tr>
    </w:tbl>
    <w:p>
      <w:pPr>
        <w:spacing w:after="80" w:before="120"/>
      </w:pPr>
    </w:p>
    <w:p>
      <w:pPr>
        <w:spacing w:after="100" w:before="80"/>
      </w:pPr>
      <w:r>
        <w:rPr>
          <w:sz w:val="22"/>
          <w:szCs w:val="22"/>
        </w:rPr>
        <w:t xml:space="preserve">Interpretation : (1) Les deux RF battent le naif de maniere tres hautement significative (p &lt; 0.001). (2) L'apport de la meteo n'est PAS statistiquement significatif (p = 0.57), resultat cle de l'etude d'ablation -- les features combustibles et flux transfrontaliers semblent absorber l'essentiel de l'information meteorologique. (3) XGBoost sous-performe significativement le RF avec meteo (DM = +10.88, p &lt; 0.001), plaidant pour le RF comme modele de reference.</w:t>
      </w:r>
    </w:p>
    <w:p>
      <w:pPr>
        <w:spacing w:before="120"/>
      </w:pPr>
    </w:p>
    <w:p>
      <w:pPr>
        <w:pStyle w:val="Heading2"/>
        <w:spacing w:after="100" w:before="200"/>
      </w:pPr>
      <w:r>
        <w:rPr>
          <w:b/>
          <w:bCs/>
          <w:color w:val="2E5FA3"/>
          <w:sz w:val="24"/>
          <w:szCs w:val="24"/>
        </w:rPr>
        <w:t xml:space="preserve">3.3 Prevision vs Reel</w:t>
      </w:r>
    </w:p>
    <w:p>
      <w:pPr>
        <w:spacing w:after="100" w:before="80"/>
      </w:pPr>
      <w:r>
        <w:rPr>
          <w:sz w:val="22"/>
          <w:szCs w:val="22"/>
        </w:rPr>
        <w:t xml:space="preserve">La figure 2 montre le premier mois de la periode de test. Le Modele C suit bien la structure intra-hebdomadaire et les pics journaliers. Les erreurs les plus importantes surviennent lors de baisses ou hausses soudaines liees a des evenements exogenes (sorties de centrales, chocs climatiques). Le benchmark naif (A) montre systematiquement un decalage sur les periodes de transition de marche.</w:t>
      </w:r>
    </w:p>
    <w:p>
      <w:pPr>
        <w:spacing w:before="80"/>
      </w:pPr>
    </w:p>
    <w:p>
      <w:pPr>
        <w:jc w:val="center"/>
      </w:pPr>
      <w:r>
        <w:drawing>
          <wp:inline distT="0" distB="0" distL="0" distR="0">
            <wp:extent cx="5334000" cy="2095500"/>
            <wp:effectExtent t="0" r="0" b="0" l="0"/>
            <wp:docPr id="1" name="forecast_vs_actual.png" descr="forecast_vs_actual.png" title="forecast_vs_actu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095500"/>
                    </a:xfrm>
                    <a:prstGeom prst="rect">
                      <a:avLst/>
                    </a:prstGeom>
                  </pic:spPr>
                </pic:pic>
              </a:graphicData>
            </a:graphic>
          </wp:inline>
        </w:drawing>
      </w:r>
    </w:p>
    <w:p>
      <w:pPr>
        <w:spacing w:after="200" w:before="60"/>
        <w:jc w:val="center"/>
      </w:pPr>
      <w:r>
        <w:rPr>
          <w:i/>
          <w:iCs/>
          <w:color w:val="555555"/>
          <w:sz w:val="18"/>
          <w:szCs w:val="18"/>
        </w:rPr>
        <w:t xml:space="preserve">Figure 2 -- Prevision vs reel, premier mois de test. Bleu = reel, rouge tirete = RF meteo (C), gris pointe = naif (A).</w:t>
      </w:r>
    </w:p>
    <w:p>
      <w:r>
        <w:br w:type="page"/>
      </w:r>
    </w:p>
    <w:p>
      <w:pPr>
        <w:pStyle w:val="Heading2"/>
        <w:spacing w:after="100" w:before="200"/>
      </w:pPr>
      <w:r>
        <w:rPr>
          <w:b/>
          <w:bCs/>
          <w:color w:val="2E5FA3"/>
          <w:sz w:val="24"/>
          <w:szCs w:val="24"/>
        </w:rPr>
        <w:t xml:space="preserve">3.4 Distribution des erreurs</w:t>
      </w:r>
    </w:p>
    <w:p>
      <w:pPr>
        <w:spacing w:after="100" w:before="80"/>
      </w:pPr>
      <w:r>
        <w:rPr>
          <w:sz w:val="22"/>
          <w:szCs w:val="22"/>
        </w:rPr>
        <w:t xml:space="preserve">Les erreurs de prevision sont approximativement centrees en zero, confirmant l'absence de biais systematique. Les queues de distribution sont plus lourdes pour les evenements extremes (prix &gt;150 EUR/MWh), coherent avec la difficulte reconnue de prevoir les price spikes lies a des disruptions d'approvisionnement rares.</w:t>
      </w:r>
    </w:p>
    <w:p>
      <w:pPr>
        <w:spacing w:before="80"/>
      </w:pPr>
    </w:p>
    <w:p>
      <w:pPr>
        <w:jc w:val="center"/>
      </w:pPr>
      <w:r>
        <w:drawing>
          <wp:inline distT="0" distB="0" distL="0" distR="0">
            <wp:extent cx="5334000" cy="1905000"/>
            <wp:effectExtent t="0" r="0" b="0" l="0"/>
            <wp:docPr id="1" name="error_distribution.png" descr="error_distribution.png" title="error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905000"/>
                    </a:xfrm>
                    <a:prstGeom prst="rect">
                      <a:avLst/>
                    </a:prstGeom>
                  </pic:spPr>
                </pic:pic>
              </a:graphicData>
            </a:graphic>
          </wp:inline>
        </w:drawing>
      </w:r>
    </w:p>
    <w:p>
      <w:pPr>
        <w:spacing w:after="200" w:before="60"/>
        <w:jc w:val="center"/>
      </w:pPr>
      <w:r>
        <w:rPr>
          <w:i/>
          <w:iCs/>
          <w:color w:val="555555"/>
          <w:sz w:val="18"/>
          <w:szCs w:val="18"/>
        </w:rPr>
        <w:t xml:space="preserve">Figure 3 -- Distribution des erreurs (gauche) et dispersion reel vs predit (droite) pour les modeles B, C et D.</w:t>
      </w:r>
    </w:p>
    <w:p>
      <w:pPr>
        <w:spacing w:before="120"/>
      </w:pPr>
    </w:p>
    <w:p>
      <w:pPr>
        <w:pStyle w:val="Heading2"/>
        <w:spacing w:after="100" w:before="200"/>
      </w:pPr>
      <w:r>
        <w:rPr>
          <w:b/>
          <w:bCs/>
          <w:color w:val="2E5FA3"/>
          <w:sz w:val="24"/>
          <w:szCs w:val="24"/>
        </w:rPr>
        <w:t xml:space="preserve">3.5 Stabilite temporelle -- MAE mensuel</w:t>
      </w:r>
    </w:p>
    <w:p>
      <w:pPr>
        <w:spacing w:after="100" w:before="80"/>
      </w:pPr>
      <w:r>
        <w:rPr>
          <w:sz w:val="22"/>
          <w:szCs w:val="22"/>
        </w:rPr>
        <w:t xml:space="preserve">La figure 4 decompose le MAE de test par mois pour les quatre modeles. Les erreurs sont plus elevees en automne-hiver (oct.-dec. 2024, janv. 2025) ou la volatilite des prix est maximale en raison des pics de demande de chauffage. Les deux RF affichent un profil mensuel tres similaire (ablation non concluante), tandis que XGBoost est plus volatile mois par mois.</w:t>
      </w:r>
    </w:p>
    <w:p>
      <w:pPr>
        <w:spacing w:before="80"/>
      </w:pPr>
    </w:p>
    <w:p>
      <w:pPr>
        <w:jc w:val="center"/>
      </w:pPr>
      <w:r>
        <w:drawing>
          <wp:inline distT="0" distB="0" distL="0" distR="0">
            <wp:extent cx="5334000" cy="1762125"/>
            <wp:effectExtent t="0" r="0" b="0" l="0"/>
            <wp:docPr id="1" name="backtest_mae_by_month.png" descr="backtest_mae_by_month.png" title="backtest_mae_by_mon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762125"/>
                    </a:xfrm>
                    <a:prstGeom prst="rect">
                      <a:avLst/>
                    </a:prstGeom>
                  </pic:spPr>
                </pic:pic>
              </a:graphicData>
            </a:graphic>
          </wp:inline>
        </w:drawing>
      </w:r>
    </w:p>
    <w:p>
      <w:pPr>
        <w:spacing w:after="200" w:before="60"/>
        <w:jc w:val="center"/>
      </w:pPr>
      <w:r>
        <w:rPr>
          <w:i/>
          <w:iCs/>
          <w:color w:val="555555"/>
          <w:sz w:val="18"/>
          <w:szCs w:val="18"/>
        </w:rPr>
        <w:t xml:space="preserve">Figure 4 -- MAE mensuel sur la periode de test (mai 2024 - avr. 2025) pour les quatre modeles.</w:t>
      </w:r>
    </w:p>
    <w:p>
      <w:pPr>
        <w:spacing w:before="120"/>
      </w:pPr>
    </w:p>
    <w:p>
      <w:pPr>
        <w:pStyle w:val="Heading2"/>
        <w:spacing w:after="100" w:before="200"/>
      </w:pPr>
      <w:r>
        <w:rPr>
          <w:b/>
          <w:bCs/>
          <w:color w:val="2E5FA3"/>
          <w:sz w:val="24"/>
          <w:szCs w:val="24"/>
        </w:rPr>
        <w:t xml:space="preserve">3.6 Importance des variables -- Modele C</w:t>
      </w:r>
    </w:p>
    <w:p>
      <w:pPr>
        <w:spacing w:after="100" w:before="80"/>
      </w:pPr>
      <w:r>
        <w:rPr>
          <w:sz w:val="22"/>
          <w:szCs w:val="22"/>
        </w:rPr>
        <w:t xml:space="preserve">La figure 5 montre le top 20 des features par importance MDI (Mean Decrease in Impurity) du Random Forest. Les lags de prix dominent (T-24h, T-168h, moyenne glissante 168h), confirmant la forte structure auto-regressive. Parmi les features meteo, la temperature (et HDD derive) et la vitesse du vent se classent hauts, validant l'hypothese centrale de la these. Le prix TTF du gaz et la disponibilite nucleaire apparaissent egalement en bonne position.</w:t>
      </w:r>
    </w:p>
    <w:p>
      <w:pPr>
        <w:spacing w:before="80"/>
      </w:pPr>
    </w:p>
    <w:p>
      <w:pPr>
        <w:jc w:val="center"/>
      </w:pPr>
      <w:r>
        <w:drawing>
          <wp:inline distT="0" distB="0" distL="0" distR="0">
            <wp:extent cx="4572000" cy="2952750"/>
            <wp:effectExtent t="0" r="0" b="0" l="0"/>
            <wp:docPr id="1" name="feature_importance_rf.png" descr="feature_importance_rf.png" title="feature_importance_r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952750"/>
                    </a:xfrm>
                    <a:prstGeom prst="rect">
                      <a:avLst/>
                    </a:prstGeom>
                  </pic:spPr>
                </pic:pic>
              </a:graphicData>
            </a:graphic>
          </wp:inline>
        </w:drawing>
      </w:r>
    </w:p>
    <w:p>
      <w:pPr>
        <w:spacing w:after="200" w:before="60"/>
        <w:jc w:val="center"/>
      </w:pPr>
      <w:r>
        <w:rPr>
          <w:i/>
          <w:iCs/>
          <w:color w:val="555555"/>
          <w:sz w:val="18"/>
          <w:szCs w:val="18"/>
        </w:rPr>
        <w:t xml:space="preserve">Figure 5 -- Top 20 importances (Random Forest, Modele C). Rouge = meteo, bleu = autres.</w:t>
      </w:r>
    </w:p>
    <w:p>
      <w:r>
        <w:br w:type="page"/>
      </w:r>
    </w:p>
    <w:p>
      <w:pPr>
        <w:pStyle w:val="Heading1"/>
        <w:spacing w:after="120" w:before="300"/>
      </w:pPr>
      <w:r>
        <w:rPr>
          <w:b/>
          <w:bCs/>
          <w:color w:val="1F3864"/>
          <w:sz w:val="28"/>
          <w:szCs w:val="28"/>
        </w:rPr>
        <w:t xml:space="preserve">4. Discussion &amp; Limites</w:t>
      </w:r>
    </w:p>
    <w:p>
      <w:pPr>
        <w:pStyle w:val="ListParagraph"/>
        <w:numPr>
          <w:ilvl w:val="0"/>
          <w:numId w:val="3"/>
        </w:numPr>
        <w:spacing w:after="80" w:before="80"/>
      </w:pPr>
      <w:r>
        <w:rPr>
          <w:sz w:val="22"/>
          <w:szCs w:val="22"/>
        </w:rPr>
        <w:t xml:space="preserve">Prevision des price spikes : les deux modeles sous-estiment systematiquement les evenements extremes (&gt;200 EUR/MWh). Une extension par classification de spike ou regression quantile pourrait ameliorer la performance en queue de distribution.</w:t>
      </w:r>
    </w:p>
    <w:p>
      <w:pPr>
        <w:pStyle w:val="ListParagraph"/>
        <w:numPr>
          <w:ilvl w:val="0"/>
          <w:numId w:val="3"/>
        </w:numPr>
        <w:spacing w:after="80" w:before="80"/>
      </w:pPr>
      <w:r>
        <w:rPr>
          <w:sz w:val="22"/>
          <w:szCs w:val="22"/>
        </w:rPr>
        <w:t xml:space="preserve">Ablation meteo non concluante : l'absence d'effet significatif de la meteo (test DM C vs B : p = 0.57) peut s'expliquer par la colinearite entre temperature et consommation de chauffage deja capturee par la prevision de charge ENTSO-E, et par le fait que le prix TTF du gaz integre deja les anticipations climatiques des marches.</w:t>
      </w:r>
    </w:p>
    <w:p>
      <w:pPr>
        <w:pStyle w:val="ListParagraph"/>
        <w:numPr>
          <w:ilvl w:val="0"/>
          <w:numId w:val="3"/>
        </w:numPr>
        <w:spacing w:after="80" w:before="80"/>
      </w:pPr>
      <w:r>
        <w:rPr>
          <w:sz w:val="22"/>
          <w:szCs w:val="22"/>
        </w:rPr>
        <w:t xml:space="preserve">Modele statique : l'entrainement est realise une seule fois sur 2018-2024. En production, un retrainement periodique (mensuel) serait necessaire pour s'adapter aux evolutions structurelles du marche (montee des EnR, evolution du mix nucleaire).</w:t>
      </w:r>
    </w:p>
    <w:p>
      <w:pPr>
        <w:pStyle w:val="ListParagraph"/>
        <w:numPr>
          <w:ilvl w:val="0"/>
          <w:numId w:val="3"/>
        </w:numPr>
        <w:spacing w:after="80" w:before="80"/>
      </w:pPr>
      <w:r>
        <w:rPr>
          <w:sz w:val="22"/>
          <w:szCs w:val="22"/>
        </w:rPr>
        <w:t xml:space="preserve">Hyperparametres XGBoost : les hyperparametres utilises sont standards et non optimises par validation croisee temporelle. Un tuning par Bayesian optimization pourrait inverser le classement C vs D.</w:t>
      </w:r>
    </w:p>
    <w:p>
      <w:pPr>
        <w:pStyle w:val="ListParagraph"/>
        <w:numPr>
          <w:ilvl w:val="0"/>
          <w:numId w:val="3"/>
        </w:numPr>
        <w:spacing w:after="80" w:before="80"/>
      </w:pPr>
      <w:r>
        <w:rPr>
          <w:sz w:val="22"/>
          <w:szCs w:val="22"/>
        </w:rPr>
        <w:t xml:space="preserve">Horizon de prevision : seul l'horizon h+24h est traite. Une extension multi-horizon (h+1 a h+48) necessite soit une approche recursive (accumulation d'erreurs), soit un modele direct par horizon.</w:t>
      </w:r>
    </w:p>
    <w:p>
      <w:pPr>
        <w:spacing w:after="100" w:before="80"/>
      </w:pPr>
    </w:p>
    <w:p>
      <w:pPr>
        <w:pBdr>
          <w:bottom w:val="single" w:color="CCCCCC" w:sz="4"/>
        </w:pBdr>
        <w:spacing w:after="100" w:before="100"/>
      </w:pPr>
    </w:p>
    <w:p>
      <w:pPr>
        <w:pStyle w:val="Heading1"/>
        <w:spacing w:after="120" w:before="300"/>
      </w:pPr>
      <w:r>
        <w:rPr>
          <w:b/>
          <w:bCs/>
          <w:color w:val="1F3864"/>
          <w:sz w:val="28"/>
          <w:szCs w:val="28"/>
        </w:rPr>
        <w:t xml:space="preserve">5. Conclusion</w:t>
      </w:r>
    </w:p>
    <w:p>
      <w:pPr>
        <w:spacing w:after="100" w:before="80"/>
      </w:pPr>
      <w:r>
        <w:rPr>
          <w:sz w:val="22"/>
          <w:szCs w:val="22"/>
        </w:rPr>
        <w:t xml:space="preserve">Les deux modeles Random Forest (avec et sans meteo) surpassent significativement le benchmark naif sur la periode de test mai 2024 - avril 2025, atteignant un MAE ~16.9 EUR/MWh et R2 ~ 0.78 contre MAE 33.1 et R2 0.16 pour le naif. Le test de Diebold-Mariano confirme la superiorite statistique des RF (p &lt; 0.001). L'apport marginal de la meteo n'est pas significatif dans ce jeu de features enrichi, ce qui constitue un resultat important pour la these : les fondamentaux de marche (prix combustibles, flux transfrontaliers, disponibilite nucleaire) semblent capturer l'essentiel de l'information meteo pertinente pour la prevision des prix day-ahead francais. Le Modele C (RF avec meteo) est retenu comme modele de reference pour sa completude interpretative et ses performances.</w:t>
      </w:r>
    </w:p>
    <w:p>
      <w:pPr>
        <w:spacing w:before="120"/>
      </w:pPr>
    </w:p>
    <w:p>
      <w:pPr>
        <w:pBdr>
          <w:bottom w:val="single" w:color="CCCCCC" w:sz="4"/>
        </w:pBdr>
        <w:spacing w:after="100" w:before="100"/>
      </w:pPr>
    </w:p>
    <w:p>
      <w:pPr>
        <w:spacing w:before="120"/>
        <w:jc w:val="right"/>
      </w:pPr>
      <w:r>
        <w:rPr>
          <w:i/>
          <w:iCs/>
          <w:color w:val="888888"/>
          <w:sz w:val="18"/>
          <w:szCs w:val="18"/>
        </w:rPr>
        <w:t xml:space="preserve">Leo Camberleng -- EDHEC MSc Data Analysis &amp; AI -- Mai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pBdr>
      <w:tabs>
        <w:tab w:val="right" w:pos="9026"/>
      </w:tabs>
    </w:pPr>
    <w:r>
      <w:rPr>
        <w:color w:val="555555"/>
        <w:sz w:val="18"/>
        <w:szCs w:val="18"/>
      </w:rPr>
      <w:t xml:space="preserve">Rapport de Modelisation -- Prix day-ahead francais</w:t>
    </w:r>
    <w:r>
      <w:rPr>
        <w:color w:val="555555"/>
        <w:sz w:val="18"/>
        <w:szCs w:val="18"/>
      </w:rPr>
      <w:t xml:space="preserve">	EDHEC MSc Data Analysis &amp;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fea795046af5923a7e75110da4aafee6843c1c9.png"/><Relationship Id="rId10" Type="http://schemas.openxmlformats.org/officeDocument/2006/relationships/image" Target="media/fb808a2d5ffe07960016ca1c66354363f8935e37.png"/><Relationship Id="rId11" Type="http://schemas.openxmlformats.org/officeDocument/2006/relationships/image" Target="media/2fc513ec896235dbecf40421a0d6998fff3b19c1.png"/><Relationship Id="rId12" Type="http://schemas.openxmlformats.org/officeDocument/2006/relationships/image" Target="media/25fe72e11366895ce15298e9cdf2b22d913725dc.png"/><Relationship Id="rId13" Type="http://schemas.openxmlformats.org/officeDocument/2006/relationships/image" Target="media/b9c05aac62b8aa7fd8d20fd93d41f703c66b497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2026-05-09T12:16:44.113Z</dcterms:created>
  <dcterms:modified xsi:type="dcterms:W3CDTF">2026-05-09T12:16:44.123Z</dcterms:modified>
</cp:coreProperties>
</file>

<file path=docProps/custom.xml><?xml version="1.0" encoding="utf-8"?>
<Properties xmlns="http://schemas.openxmlformats.org/officeDocument/2006/custom-properties" xmlns:vt="http://schemas.openxmlformats.org/officeDocument/2006/docPropsVTypes"/>
</file>