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3E7E"/>
          <w:sz w:val="40"/>
        </w:rPr>
        <w:t>FICHE MEMO — SOUTENANCE</w:t>
      </w:r>
    </w:p>
    <w:p>
      <w:pPr>
        <w:spacing w:after="40"/>
      </w:pPr>
      <w:r>
        <w:rPr>
          <w:rFonts w:ascii="Calibri" w:hAnsi="Calibri"/>
          <w:b/>
          <w:color w:val="2E5FA3"/>
          <w:sz w:val="22"/>
        </w:rPr>
        <w:t>The Role of Weather in French Day-Ahead Electricity Price Forecasting</w:t>
      </w:r>
    </w:p>
    <w:p>
      <w:pPr>
        <w:spacing w:after="160"/>
        <w:pBdr>
          <w:bottom w:val="single" w:sz="6" w:space="1" w:color="003E7E"/>
        </w:pBdr>
      </w:pPr>
      <w:r>
        <w:rPr>
          <w:rFonts w:ascii="Calibri" w:hAnsi="Calibri"/>
          <w:color w:val="505050"/>
          <w:sz w:val="18"/>
        </w:rPr>
        <w:t>Leo Cambreleng &amp; Lyam Oumedjeber  ·  EDHEC MSc DAAI  ·  Prof. Milos Vulanovic  ·  Juin 2026</w:t>
      </w:r>
    </w:p>
    <w:p>
      <w:pPr>
        <w:spacing w:before="120" w:after="40"/>
      </w:pPr>
      <w:r>
        <w:rPr>
          <w:rFonts w:ascii="Calibri" w:hAnsi="Calibri"/>
          <w:b/>
          <w:color w:val="003E7E"/>
          <w:sz w:val="21"/>
        </w:rPr>
        <w:t>LA PHRASE THESIS EN 1 LIGNE</w:t>
      </w:r>
    </w:p>
    <w:tbl>
      <w:tblPr>
        <w:tblStyle w:val="TableGrid"/>
        <w:tblLook w:firstColumn="1" w:firstRow="1" w:lastColumn="0" w:lastRow="0" w:noHBand="0" w:noVBand="1" w:val="04A0"/>
        <w:tblW w:w="9638" w:type="dxa"/>
      </w:tblPr>
      <w:tblGrid>
        <w:gridCol w:w="9638"/>
      </w:tblGrid>
      <w:tr>
        <w:tc>
          <w:tcPr>
            <w:shd w:val="clear" w:color="auto" w:fill="EBF3FB"/>
            <w:tcMar>
              <w:top w:w="80" w:type="dxa"/>
              <w:bottom w:w="80" w:type="dxa"/>
              <w:left w:w="160" w:type="dxa"/>
              <w:right w:w="160" w:type="dxa"/>
            </w:tcMar>
            <w:tcW w:w="9638" w:type="dxa"/>
            <w:tcBorders>
              <w:top w:val="nil"/>
              <w:bottom w:val="nil"/>
              <w:right w:val="nil"/>
              <w:left w:val="single" w:sz="16" w:color="003E7E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sz w:val="19"/>
              </w:rPr>
              <w:t xml:space="preserve">“La météo est </w:t>
            </w:r>
            <w:r>
              <w:rPr>
                <w:rFonts w:ascii="Calibri" w:hAnsi="Calibri"/>
                <w:b/>
                <w:i/>
                <w:color w:val="003E7E"/>
                <w:sz w:val="19"/>
              </w:rPr>
              <w:t>redondante</w:t>
            </w:r>
            <w:r>
              <w:rPr>
                <w:rFonts w:ascii="Calibri" w:hAnsi="Calibri"/>
                <w:b w:val="0"/>
                <w:i/>
                <w:sz w:val="19"/>
              </w:rPr>
              <w:t xml:space="preserve"> en régime stable (déjà dans load forecast + TTF) mais </w:t>
            </w:r>
            <w:r>
              <w:rPr>
                <w:rFonts w:ascii="Calibri" w:hAnsi="Calibri"/>
                <w:b/>
                <w:i/>
                <w:color w:val="2E5FA3"/>
                <w:sz w:val="19"/>
              </w:rPr>
              <w:t>significative</w:t>
            </w:r>
            <w:r>
              <w:rPr>
                <w:rFonts w:ascii="Calibri" w:hAnsi="Calibri"/>
                <w:b w:val="0"/>
                <w:i/>
                <w:sz w:val="19"/>
              </w:rPr>
              <w:t xml:space="preserve"> en crise 2022 (canal gaz décorrélé + contraintes nucléaires).”</w:t>
            </w:r>
          </w:p>
        </w:tc>
      </w:tr>
    </w:tbl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RÉSULTATS CLÉS — 2 RÉGIMES</w:t>
      </w:r>
    </w:p>
    <w:tbl>
      <w:tblPr>
        <w:tblStyle w:val="TableGrid"/>
        <w:tblLook w:firstColumn="1" w:firstRow="1" w:lastColumn="0" w:lastRow="0" w:noHBand="0" w:noVBand="1" w:val="04A0"/>
        <w:tblW w:w="9638" w:type="dxa"/>
      </w:tblPr>
      <w:tblGrid>
        <w:gridCol w:w="3213"/>
        <w:gridCol w:w="3213"/>
        <w:gridCol w:w="3213"/>
      </w:tblGrid>
      <w:tr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29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Stable 2024–25  (n=8 640)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Crise 2022  (n=8 760)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900" w:type="dxa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Naïve A — MAE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33,09 EUR/MWh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72,74 EUR/MWh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9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RF sans météo B — MAE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16,95 · R²=0,775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67,28 · R²=0,464</w:t>
            </w:r>
          </w:p>
        </w:tc>
      </w:tr>
      <w:tr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2900" w:type="dxa"/>
          </w:tcPr>
          <w:p>
            <w:pPr>
              <w:jc w:val="left"/>
            </w:pPr>
            <w:r>
              <w:rPr>
                <w:rFonts w:ascii="Calibri" w:hAnsi="Calibri"/>
                <w:b/>
                <w:color w:val="2E5FA3"/>
                <w:sz w:val="17"/>
              </w:rPr>
              <w:t>RF avec météo C — MAE</w:t>
            </w:r>
          </w:p>
        </w:tc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16,94 · R²=0,776</w:t>
            </w:r>
          </w:p>
        </w:tc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66,55 · R²=0,475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9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XGBoost D — MAE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19,14 · R²=0,659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76,32 · R²=0,282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900" w:type="dxa"/>
          </w:tcPr>
          <w:p>
            <w:pPr>
              <w:jc w:val="left"/>
            </w:pPr>
            <w:r>
              <w:rPr>
                <w:rFonts w:ascii="Calibri" w:hAnsi="Calibri"/>
                <w:b/>
                <w:sz w:val="17"/>
              </w:rPr>
              <w:t>DM test C vs B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p=0,572 · stat=−0,565 · n.s.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p&lt;0,001 · stat=−13,27 · ***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900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ML vs naïve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−49% MAE · p&lt;0,001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3369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−8,5% MAE · p&lt;0,001</w:t>
            </w:r>
          </w:p>
        </w:tc>
      </w:tr>
    </w:tbl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TESTS DIEBOLD-MARIANO (régime stable)</w:t>
      </w:r>
    </w:p>
    <w:tbl>
      <w:tblPr>
        <w:tblStyle w:val="TableGrid"/>
        <w:tblLook w:firstColumn="1" w:firstRow="1" w:lastColumn="0" w:lastRow="0" w:noHBand="0" w:noVBand="1" w:val="04A0"/>
        <w:tblW w:w="9638" w:type="dxa"/>
      </w:tblPr>
      <w:tblGrid>
        <w:gridCol w:w="2409"/>
        <w:gridCol w:w="2409"/>
        <w:gridCol w:w="2409"/>
        <w:gridCol w:w="2409"/>
      </w:tblGrid>
      <w:tr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42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Comparaison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DM stat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p-value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2438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4200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 vs B — météo ajoute de la valeur ?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−0,565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0,572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438" w:type="dxa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n.s.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4200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 vs A — RF-météo bat naïve ?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−53,53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&lt;0,001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438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6400"/>
                <w:sz w:val="17"/>
              </w:rPr>
              <w:t>***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4200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 vs A — RF-sans-météo bat naïve ?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−53,44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&lt;0,001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438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6400"/>
                <w:sz w:val="17"/>
              </w:rPr>
              <w:t>***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4200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 vs C — XGBoost vs RF-météo ?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+10,88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500" w:type="dx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&lt;0,001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438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B40000"/>
                <w:sz w:val="17"/>
              </w:rPr>
              <w:t>*** (XGB pire)</w:t>
            </w:r>
          </w:p>
        </w:tc>
      </w:tr>
    </w:tbl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FEATURE IMPORTANCE (RF avec météo, MDI)</w:t>
      </w:r>
    </w:p>
    <w:tbl>
      <w:tblPr>
        <w:tblStyle w:val="TableGrid"/>
        <w:tblLook w:firstColumn="1" w:firstRow="1" w:lastColumn="0" w:lastRow="0" w:noHBand="0" w:noVBand="1" w:val="04A0"/>
        <w:tblW w:w="9638" w:type="dxa"/>
      </w:tblPr>
      <w:tblGrid>
        <w:gridCol w:w="4819"/>
        <w:gridCol w:w="4819"/>
      </w:tblGrid>
      <w:tr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Feature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Importance</w:t>
            </w:r>
          </w:p>
        </w:tc>
      </w:tr>
      <w:tr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/>
                <w:color w:val="2E5FA3"/>
                <w:sz w:val="17"/>
              </w:rPr>
              <w:t>price_lag24h</w:t>
            </w:r>
          </w:p>
        </w:tc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E5FA3"/>
                <w:sz w:val="17"/>
              </w:rPr>
              <w:t>20,7%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price_roll24h_mean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14,3%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price_lag48h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12,4%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price_roll168h_mean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11,9%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price_lag168h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10,4%</w:t>
            </w:r>
          </w:p>
        </w:tc>
      </w:tr>
      <w:tr>
        <w:tc>
          <w:tcPr>
            <w:shd w:val="clear" w:color="auto" w:fill="FFF9E6"/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/>
                <w:color w:val="2E5FA3"/>
                <w:sz w:val="17"/>
              </w:rPr>
              <w:t>Lags + rolling means TOTAL</w:t>
            </w:r>
          </w:p>
        </w:tc>
        <w:tc>
          <w:tcPr>
            <w:shd w:val="clear" w:color="auto" w:fill="FFF9E6"/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E5FA3"/>
                <w:sz w:val="17"/>
              </w:rPr>
              <w:t>~70%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TTF gaz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8,3%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ARA coal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6,0%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nuclear_avail_ratio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~1,9%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7138" w:type="dxa"/>
          </w:tcPr>
          <w:p>
            <w:pPr>
              <w:jc w:val="left"/>
            </w:pPr>
            <w:r>
              <w:rPr>
                <w:rFonts w:ascii="Calibri" w:hAnsi="Calibri"/>
                <w:b/>
                <w:color w:val="2E5FA3"/>
                <w:sz w:val="17"/>
              </w:rPr>
              <w:t>TOUTE la météo combinée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5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E5FA3"/>
                <w:sz w:val="17"/>
              </w:rPr>
              <w:t>~2,2%</w:t>
            </w:r>
          </w:p>
        </w:tc>
      </w:tr>
    </w:tbl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BACKTEST TRADING (scénario central 0,30 EUR/MWh, 1 MW)</w:t>
      </w:r>
    </w:p>
    <w:tbl>
      <w:tblPr>
        <w:tblStyle w:val="TableGrid"/>
        <w:tblLook w:firstColumn="1" w:firstRow="1" w:lastColumn="0" w:lastRow="0" w:noHBand="0" w:noVBand="1" w:val="04A0"/>
        <w:tblW w:w="9638" w:type="dxa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2238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28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Net P&amp;L (EUR/MW)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Sharpe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MaxDD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22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Calmar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2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 — Naïve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800" w:type="dxa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7"/>
              </w:rPr>
              <w:t>85 482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10,53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2 367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36,6</w:t>
            </w:r>
          </w:p>
        </w:tc>
      </w:tr>
      <w:tr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2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 — RF sans météo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800" w:type="dxa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7"/>
              </w:rPr>
              <w:t>136 884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19,44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433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2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320,6</w:t>
            </w:r>
          </w:p>
        </w:tc>
      </w:tr>
      <w:tr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2238" w:type="dxa"/>
          </w:tcPr>
          <w:p>
            <w:pPr>
              <w:jc w:val="left"/>
            </w:pPr>
            <w:r>
              <w:rPr>
                <w:rFonts w:ascii="Calibri" w:hAnsi="Calibri"/>
                <w:b/>
                <w:color w:val="2E5FA3"/>
                <w:sz w:val="17"/>
              </w:rPr>
              <w:t>C — RF avec météo</w:t>
            </w:r>
          </w:p>
        </w:tc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2800" w:type="dxa"/>
          </w:tcPr>
          <w:p>
            <w:pPr>
              <w:jc w:val="right"/>
            </w:pPr>
            <w:r>
              <w:rPr>
                <w:rFonts w:ascii="Calibri" w:hAnsi="Calibri"/>
                <w:b/>
                <w:color w:val="2E5FA3"/>
                <w:sz w:val="17"/>
              </w:rPr>
              <w:t>136 711</w:t>
            </w:r>
          </w:p>
        </w:tc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E5FA3"/>
                <w:sz w:val="17"/>
              </w:rPr>
              <w:t>19,46</w:t>
            </w:r>
          </w:p>
        </w:tc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E5FA3"/>
                <w:sz w:val="17"/>
              </w:rPr>
              <w:t>422</w:t>
            </w:r>
          </w:p>
        </w:tc>
        <w:tc>
          <w:tcPr>
            <w:shd w:val="clear" w:color="auto" w:fill="EBF3FB"/>
            <w:tcMar>
              <w:top w:w="50" w:type="dxa"/>
              <w:bottom w:w="50" w:type="dxa"/>
              <w:left w:w="80" w:type="dxa"/>
              <w:right w:w="80" w:type="dxa"/>
            </w:tcMar>
            <w:tcW w:w="2200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2E5FA3"/>
                <w:sz w:val="17"/>
              </w:rPr>
              <w:t>328,3</w:t>
            </w:r>
          </w:p>
        </w:tc>
      </w:tr>
      <w:tr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238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 — XGBoost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800" w:type="dxa"/>
          </w:tcPr>
          <w:p>
            <w:pPr>
              <w:jc w:val="right"/>
            </w:pPr>
            <w:r>
              <w:rPr>
                <w:rFonts w:ascii="Calibri" w:hAnsi="Calibri"/>
                <w:b w:val="0"/>
                <w:sz w:val="17"/>
              </w:rPr>
              <w:t>142 012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18,78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1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1 351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220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106,6</w:t>
            </w:r>
          </w:p>
        </w:tc>
      </w:tr>
    </w:tbl>
    <w:p>
      <w:pPr>
        <w:spacing w:before="60" w:after="120"/>
      </w:pPr>
      <w:r>
        <w:rPr>
          <w:rFonts w:ascii="Calibri" w:hAnsi="Calibri"/>
          <w:b/>
          <w:i w:val="0"/>
          <w:sz w:val="19"/>
        </w:rPr>
        <w:t>RF drawdown 5,6× plus petit que naïve</w:t>
      </w:r>
      <w:r>
        <w:rPr>
          <w:rFonts w:ascii="Calibri" w:hAnsi="Calibri"/>
          <w:b w:val="0"/>
          <w:i w:val="0"/>
          <w:sz w:val="19"/>
        </w:rPr>
        <w:t xml:space="preserve">  ·  Sharpe positif dans </w:t>
      </w:r>
      <w:r>
        <w:rPr>
          <w:rFonts w:ascii="Calibri" w:hAnsi="Calibri"/>
          <w:b/>
          <w:i w:val="0"/>
          <w:sz w:val="19"/>
        </w:rPr>
        <w:t>tous les 12 mois</w:t>
      </w:r>
    </w:p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SETUP DONNÉES &amp; MODÈLES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Période</w:t>
      </w:r>
      <w:r>
        <w:rPr>
          <w:rFonts w:ascii="Calibri" w:hAnsi="Calibri"/>
          <w:b w:val="0"/>
          <w:sz w:val="19"/>
        </w:rPr>
        <w:t xml:space="preserve"> : Jan 2018 – Avr 2025 · ~64 000 obs horaires · 4 sources publiques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Sources</w:t>
      </w:r>
      <w:r>
        <w:rPr>
          <w:rFonts w:ascii="Calibri" w:hAnsi="Calibri"/>
          <w:b w:val="0"/>
          <w:sz w:val="19"/>
        </w:rPr>
        <w:t xml:space="preserve"> : ENTSO-E (prix/charge/prod/flux) · ERA5 ECMWF (météo) · TTF gas · ARA coal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Features</w:t>
      </w:r>
      <w:r>
        <w:rPr>
          <w:rFonts w:ascii="Calibri" w:hAnsi="Calibri"/>
          <w:b w:val="0"/>
          <w:sz w:val="19"/>
        </w:rPr>
        <w:t xml:space="preserve"> : 35 total (27 sans météo pour B) — calendrier, lags prix, fondamentaux, flux, météo, dérivées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RF</w:t>
      </w:r>
      <w:r>
        <w:rPr>
          <w:rFonts w:ascii="Calibri" w:hAnsi="Calibri"/>
          <w:b w:val="0"/>
          <w:sz w:val="19"/>
        </w:rPr>
        <w:t xml:space="preserve"> : 500 arbres · profondeur 10 · min-leaf 5 · règle sqrt · random_state=42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XGBoost</w:t>
      </w:r>
      <w:r>
        <w:rPr>
          <w:rFonts w:ascii="Calibri" w:hAnsi="Calibri"/>
          <w:b w:val="0"/>
          <w:sz w:val="19"/>
        </w:rPr>
        <w:t xml:space="preserve"> : 500 est. · η=0,05 · profondeur 6 · subsample=0,8 · colsample=0,8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DM</w:t>
      </w:r>
      <w:r>
        <w:rPr>
          <w:rFonts w:ascii="Calibri" w:hAnsi="Calibri"/>
          <w:b w:val="0"/>
          <w:sz w:val="19"/>
        </w:rPr>
        <w:t xml:space="preserve"> : HLN-corrected, MAE-based — d_t = |erreur_C| − |erreur_B|  (négatif = C meilleur)</w:t>
      </w:r>
    </w:p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FRANCE : SPÉCIFICITÉS À CONNAÎTRE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~63 GW nucléaire installé</w:t>
      </w:r>
      <w:r>
        <w:rPr>
          <w:rFonts w:ascii="Calibri" w:hAnsi="Calibri"/>
          <w:b w:val="0"/>
          <w:sz w:val="19"/>
        </w:rPr>
        <w:t xml:space="preserve"> ≈ ~70% de la production électrique annuelle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Thermosensibilité ~2,4 GW/°C</w:t>
      </w:r>
      <w:r>
        <w:rPr>
          <w:rFonts w:ascii="Calibri" w:hAnsi="Calibri"/>
          <w:b w:val="0"/>
          <w:sz w:val="19"/>
        </w:rPr>
        <w:t xml:space="preserve"> — la plus haute d’Europe (source RTE 2023)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HDD seuil 17°C</w:t>
      </w:r>
      <w:r>
        <w:rPr>
          <w:rFonts w:ascii="Calibri" w:hAnsi="Calibri"/>
          <w:b w:val="0"/>
          <w:sz w:val="19"/>
        </w:rPr>
        <w:t xml:space="preserve"> (méthode RTE) · CDD seuil 22°C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Disponibilité nucléaire 2022 : ~40%</w:t>
      </w:r>
      <w:r>
        <w:rPr>
          <w:rFonts w:ascii="Calibri" w:hAnsi="Calibri"/>
          <w:b w:val="0"/>
          <w:sz w:val="19"/>
        </w:rPr>
        <w:t xml:space="preserve"> (corrosion sous contrainte)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Disponibilité nucléaire 2024–25 : ~65%</w:t>
      </w:r>
      <w:r>
        <w:rPr>
          <w:rFonts w:ascii="Calibri" w:hAnsi="Calibri"/>
          <w:b w:val="0"/>
          <w:sz w:val="19"/>
        </w:rPr>
        <w:t xml:space="preserve"> (normalisée)</w:t>
      </w:r>
    </w:p>
    <w:p>
      <w:pPr>
        <w:spacing w:after="40" w:before="0"/>
        <w:ind w:left="283"/>
      </w:pPr>
      <w:r>
        <w:rPr>
          <w:rFonts w:ascii="Calibri" w:hAnsi="Calibri"/>
          <w:color w:val="003E7E"/>
          <w:sz w:val="19"/>
        </w:rPr>
        <w:t xml:space="preserve">• </w:t>
      </w:r>
      <w:r>
        <w:rPr>
          <w:rFonts w:ascii="Calibri" w:hAnsi="Calibri"/>
          <w:b/>
          <w:color w:val="003E7E"/>
          <w:sz w:val="19"/>
        </w:rPr>
        <w:t>Dead-band trading : δ = 2 EUR/MWh</w:t>
      </w:r>
      <w:r>
        <w:rPr>
          <w:rFonts w:ascii="Calibri" w:hAnsi="Calibri"/>
          <w:b w:val="0"/>
          <w:sz w:val="19"/>
        </w:rPr>
        <w:t xml:space="preserve"> ≈ 20e percentile du mouvement absolu J vs J−1</w:t>
      </w:r>
    </w:p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3 MÉCANISMES DE REDONDANCE (régime stable)</w:t>
      </w:r>
    </w:p>
    <w:p>
      <w:pPr>
        <w:spacing w:after="40" w:before="0"/>
        <w:ind w:left="283"/>
      </w:pPr>
      <w:r>
        <w:rPr>
          <w:rFonts w:ascii="Calibri" w:hAnsi="Calibri"/>
          <w:b/>
          <w:color w:val="2E5FA3"/>
          <w:sz w:val="19"/>
        </w:rPr>
        <w:t xml:space="preserve">1. </w:t>
      </w:r>
      <w:r>
        <w:rPr>
          <w:rFonts w:ascii="Calibri" w:hAnsi="Calibri"/>
          <w:b/>
          <w:color w:val="003E7E"/>
          <w:sz w:val="19"/>
        </w:rPr>
        <w:t>Load forecast ≡ température</w:t>
      </w:r>
      <w:r>
        <w:rPr>
          <w:rFonts w:ascii="Calibri" w:hAnsi="Calibri"/>
          <w:b w:val="0"/>
          <w:sz w:val="19"/>
        </w:rPr>
        <w:t xml:space="preserve"> — RTE construit sa prévision de charge sur les météos → inclure cette prévision = déjà conditionner sur la météo</w:t>
      </w:r>
    </w:p>
    <w:p>
      <w:pPr>
        <w:spacing w:after="40" w:before="0"/>
        <w:ind w:left="283"/>
      </w:pPr>
      <w:r>
        <w:rPr>
          <w:rFonts w:ascii="Calibri" w:hAnsi="Calibri"/>
          <w:b/>
          <w:color w:val="2E5FA3"/>
          <w:sz w:val="19"/>
        </w:rPr>
        <w:t xml:space="preserve">2. </w:t>
      </w:r>
      <w:r>
        <w:rPr>
          <w:rFonts w:ascii="Calibri" w:hAnsi="Calibri"/>
          <w:b/>
          <w:color w:val="003E7E"/>
          <w:sz w:val="19"/>
        </w:rPr>
        <w:t>TTF gas ≡ météo européenne</w:t>
      </w:r>
      <w:r>
        <w:rPr>
          <w:rFonts w:ascii="Calibri" w:hAnsi="Calibri"/>
          <w:b w:val="0"/>
          <w:sz w:val="19"/>
        </w:rPr>
        <w:t xml:space="preserve"> — le gaz agrège la demande de chauffage pan-européenne → TTF capture la météo comme proxy commodité</w:t>
      </w:r>
    </w:p>
    <w:p>
      <w:pPr>
        <w:spacing w:after="40" w:before="0"/>
        <w:ind w:left="283"/>
      </w:pPr>
      <w:r>
        <w:rPr>
          <w:rFonts w:ascii="Calibri" w:hAnsi="Calibri"/>
          <w:b/>
          <w:color w:val="2E5FA3"/>
          <w:sz w:val="19"/>
        </w:rPr>
        <w:t xml:space="preserve">3. </w:t>
      </w:r>
      <w:r>
        <w:rPr>
          <w:rFonts w:ascii="Calibri" w:hAnsi="Calibri"/>
          <w:b/>
          <w:color w:val="003E7E"/>
          <w:sz w:val="19"/>
        </w:rPr>
        <w:t>Domination nucléaire</w:t>
      </w:r>
      <w:r>
        <w:rPr>
          <w:rFonts w:ascii="Calibri" w:hAnsi="Calibri"/>
          <w:b w:val="0"/>
          <w:sz w:val="19"/>
        </w:rPr>
        <w:t xml:space="preserve"> — le nucléaire explique une large part de la variance des prix indépendamment de la météo → peu de résidu pour la météo</w:t>
      </w:r>
    </w:p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POURQUOI LA CRISE 2022 CASSE LA REDONDANCE</w:t>
      </w:r>
    </w:p>
    <w:p>
      <w:pPr>
        <w:spacing w:after="40" w:before="0"/>
        <w:ind w:left="283"/>
      </w:pPr>
      <w:r>
        <w:rPr>
          <w:rFonts w:ascii="Calibri" w:hAnsi="Calibri"/>
          <w:b/>
          <w:color w:val="2E5FA3"/>
          <w:sz w:val="19"/>
        </w:rPr>
        <w:t xml:space="preserve">1. </w:t>
      </w:r>
      <w:r>
        <w:rPr>
          <w:rFonts w:ascii="Calibri" w:hAnsi="Calibri"/>
          <w:b/>
          <w:color w:val="003E7E"/>
          <w:sz w:val="19"/>
        </w:rPr>
        <w:t>TTF décorrèle de la température locale</w:t>
      </w:r>
      <w:r>
        <w:rPr>
          <w:rFonts w:ascii="Calibri" w:hAnsi="Calibri"/>
          <w:b w:val="0"/>
          <w:sz w:val="19"/>
        </w:rPr>
        <w:t xml:space="preserve"> — choc géopolitique russe → TTF monte sans lien avec la météo française</w:t>
      </w:r>
    </w:p>
    <w:p>
      <w:pPr>
        <w:spacing w:after="40" w:before="0"/>
        <w:ind w:left="283"/>
      </w:pPr>
      <w:r>
        <w:rPr>
          <w:rFonts w:ascii="Calibri" w:hAnsi="Calibri"/>
          <w:b/>
          <w:color w:val="2E5FA3"/>
          <w:sz w:val="19"/>
        </w:rPr>
        <w:t xml:space="preserve">2. </w:t>
      </w:r>
      <w:r>
        <w:rPr>
          <w:rFonts w:ascii="Calibri" w:hAnsi="Calibri"/>
          <w:b/>
          <w:color w:val="003E7E"/>
          <w:sz w:val="19"/>
        </w:rPr>
        <w:t>Amplification nucléaire</w:t>
      </w:r>
      <w:r>
        <w:rPr>
          <w:rFonts w:ascii="Calibri" w:hAnsi="Calibri"/>
          <w:b w:val="0"/>
          <w:sz w:val="19"/>
        </w:rPr>
        <w:t xml:space="preserve"> — à 40% de disponibilité, chaque degré froid de plus → urgence sur centrales gaz/fioul, pas de marge d’absorption</w:t>
      </w:r>
    </w:p>
    <w:p>
      <w:pPr>
        <w:spacing w:after="40" w:before="0"/>
        <w:ind w:left="283"/>
      </w:pPr>
      <w:r>
        <w:rPr>
          <w:rFonts w:ascii="Calibri" w:hAnsi="Calibri"/>
          <w:b/>
          <w:color w:val="2E5FA3"/>
          <w:sz w:val="19"/>
        </w:rPr>
        <w:t xml:space="preserve">3. </w:t>
      </w:r>
      <w:r>
        <w:rPr>
          <w:rFonts w:ascii="Calibri" w:hAnsi="Calibri"/>
          <w:b/>
          <w:color w:val="003E7E"/>
          <w:sz w:val="19"/>
        </w:rPr>
        <w:t>Signal/bruit monte</w:t>
      </w:r>
      <w:r>
        <w:rPr>
          <w:rFonts w:ascii="Calibri" w:hAnsi="Calibri"/>
          <w:b w:val="0"/>
          <w:sz w:val="19"/>
        </w:rPr>
        <w:t xml:space="preserve"> — prix 200–1 000 EUR/MWh créent des différentiels d’erreur B vs C mesurables (0,73 EUR/MWh = détectable par DM)</w:t>
      </w:r>
    </w:p>
    <w:p>
      <w:pPr>
        <w:spacing w:before="200" w:after="60"/>
        <w:pBdr>
          <w:bottom w:val="single" w:sz="6" w:space="1" w:color="2E5FA3"/>
        </w:pBdr>
      </w:pPr>
      <w:r>
        <w:rPr>
          <w:rFonts w:ascii="Calibri" w:hAnsi="Calibri"/>
          <w:b/>
          <w:color w:val="003E7E"/>
          <w:sz w:val="21"/>
        </w:rPr>
        <w:t>PIÈGES À ÉVITER — les 5 confusions mortelles</w:t>
      </w:r>
    </w:p>
    <w:tbl>
      <w:tblPr>
        <w:tblStyle w:val="TableGrid"/>
        <w:tblLook w:firstColumn="1" w:firstRow="1" w:lastColumn="0" w:lastRow="0" w:noHBand="0" w:noVBand="1" w:val="04A0"/>
        <w:tblW w:w="9638" w:type="dxa"/>
      </w:tblPr>
      <w:tblGrid>
        <w:gridCol w:w="4819"/>
        <w:gridCol w:w="4819"/>
      </w:tblGrid>
      <w:tr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4613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❌ Ne pas dire</w:t>
            </w:r>
          </w:p>
        </w:tc>
        <w:tc>
          <w:tcPr>
            <w:shd w:val="clear" w:color="auto" w:fill="003E7E"/>
            <w:tcMar>
              <w:top w:w="50" w:type="dxa"/>
              <w:bottom w:w="50" w:type="dxa"/>
              <w:left w:w="80" w:type="dxa"/>
              <w:right w:w="80" w:type="dxa"/>
            </w:tcMar>
            <w:tcW w:w="5025" w:type="dx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✅ Dire à la place</w:t>
            </w:r>
          </w:p>
        </w:tc>
      </w:tr>
      <w:tr>
        <w:tc>
          <w:tcPr>
            <w:shd w:val="clear" w:color="auto" w:fill="FFEEEE"/>
            <w:tcMar>
              <w:top w:w="50" w:type="dxa"/>
              <w:bottom w:w="50" w:type="dxa"/>
              <w:left w:w="80" w:type="dxa"/>
              <w:right w:w="80" w:type="dxa"/>
            </w:tcMar>
            <w:tcW w:w="4613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“La météo est inutile”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5025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“Redondante en régime calme, significative en crise”</w:t>
            </w:r>
          </w:p>
        </w:tc>
      </w:tr>
      <w:tr>
        <w:tc>
          <w:tcPr>
            <w:shd w:val="clear" w:color="auto" w:fill="FFEEEE"/>
            <w:tcMar>
              <w:top w:w="50" w:type="dxa"/>
              <w:bottom w:w="50" w:type="dxa"/>
              <w:left w:w="80" w:type="dxa"/>
              <w:right w:w="80" w:type="dxa"/>
            </w:tcMar>
            <w:tcW w:w="4613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“Notre Sharpe de 19,5 est exceptionnel”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5025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“C’est 1 MW sans levier, non comparable aux fonds — regardez le Calmar et le drawdown”</w:t>
            </w:r>
          </w:p>
        </w:tc>
      </w:tr>
      <w:tr>
        <w:tc>
          <w:tcPr>
            <w:shd w:val="clear" w:color="auto" w:fill="FFEEEE"/>
            <w:tcMar>
              <w:top w:w="50" w:type="dxa"/>
              <w:bottom w:w="50" w:type="dxa"/>
              <w:left w:w="80" w:type="dxa"/>
              <w:right w:w="80" w:type="dxa"/>
            </w:tcMar>
            <w:tcW w:w="4613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“ERA5 est une prévision météo”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5025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“ERA5 est une réanalyse — la météo parfaite réalisée, une borne supérieure”</w:t>
            </w:r>
          </w:p>
        </w:tc>
      </w:tr>
      <w:tr>
        <w:tc>
          <w:tcPr>
            <w:shd w:val="clear" w:color="auto" w:fill="FFEEEE"/>
            <w:tcMar>
              <w:top w:w="50" w:type="dxa"/>
              <w:bottom w:w="50" w:type="dxa"/>
              <w:left w:w="80" w:type="dxa"/>
              <w:right w:w="80" w:type="dxa"/>
            </w:tcMar>
            <w:tcW w:w="4613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“XGBoost est inférieur à RF”</w:t>
            </w:r>
          </w:p>
        </w:tc>
        <w:tc>
          <w:tcPr>
            <w:shd w:val="clear" w:color="auto" w:fill="F5F5F5"/>
            <w:tcMar>
              <w:top w:w="50" w:type="dxa"/>
              <w:bottom w:w="50" w:type="dxa"/>
              <w:left w:w="80" w:type="dxa"/>
              <w:right w:w="80" w:type="dxa"/>
            </w:tcMar>
            <w:tcW w:w="5025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“Avec nos hyperparamètres par défaut — un tuning Bayésien pourrait inverser”</w:t>
            </w:r>
          </w:p>
        </w:tc>
      </w:tr>
      <w:tr>
        <w:tc>
          <w:tcPr>
            <w:shd w:val="clear" w:color="auto" w:fill="FFEEEE"/>
            <w:tcMar>
              <w:top w:w="50" w:type="dxa"/>
              <w:bottom w:w="50" w:type="dxa"/>
              <w:left w:w="80" w:type="dxa"/>
              <w:right w:w="80" w:type="dxa"/>
            </w:tcMar>
            <w:tcW w:w="4613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“Le prix de demain = prix d’aujourd’hui”</w:t>
            </w:r>
          </w:p>
        </w:tc>
        <w:tc>
          <w:tcPr>
            <w:tcMar>
              <w:top w:w="50" w:type="dxa"/>
              <w:bottom w:w="50" w:type="dxa"/>
              <w:left w:w="80" w:type="dxa"/>
              <w:right w:w="80" w:type="dxa"/>
            </w:tcMar>
            <w:tcW w:w="5025" w:type="dx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“Le lag-24h est la feature la plus importante (20,7%) mais 29 autres features contribuent aux 79,3% restants”</w:t>
            </w:r>
          </w:p>
        </w:tc>
      </w:tr>
    </w:tbl>
    <w:p>
      <w:pPr>
        <w:spacing w:before="200"/>
        <w:pBdr>
          <w:top w:val="single" w:sz="4" w:space="1" w:color="CCCCCC"/>
        </w:pBdr>
      </w:pPr>
      <w:r>
        <w:rPr>
          <w:rFonts w:ascii="Calibri" w:hAnsi="Calibri"/>
          <w:i/>
          <w:color w:val="646464"/>
          <w:sz w:val="17"/>
        </w:rPr>
        <w:t>Imprime cette page, garde-la sur la table. Tout le reste est dans ta tête.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