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864"/>
          <w:sz w:val="40"/>
          <w:szCs w:val="40"/>
        </w:rPr>
        <w:t xml:space="preserve">EXPLORATORY DATA ANALYSIS</w:t>
      </w:r>
    </w:p>
    <w:p>
      <w:pPr>
        <w:spacing w:after="60" w:before="0"/>
        <w:jc w:val="center"/>
      </w:pPr>
      <w:r>
        <w:rPr>
          <w:color w:val="2E5FA3"/>
          <w:sz w:val="28"/>
          <w:szCs w:val="28"/>
        </w:rPr>
        <w:t xml:space="preserve">French Day-Ahead Power Market  |  2018–2024</w:t>
      </w:r>
    </w:p>
    <w:p>
      <w:pPr>
        <w:spacing w:after="300" w:before="0"/>
        <w:jc w:val="center"/>
      </w:pPr>
      <w:r>
        <w:rPr>
          <w:i/>
          <w:iCs/>
          <w:color w:val="777777"/>
          <w:sz w:val="20"/>
          <w:szCs w:val="20"/>
        </w:rPr>
        <w:t xml:space="preserve">EDHEC MSc Data Analysis &amp; AI  —  Master’s Thesis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00" w:before="80"/>
      </w:pPr>
      <w:r>
        <w:rPr>
          <w:sz w:val="22"/>
          <w:szCs w:val="22"/>
        </w:rPr>
        <w:t xml:space="preserve">This report summarises the exploratory data analysis (EDA) conducted on the French day-ahead electricity market. The dataset covers hourly observations from January 2018 to December 2024 (61,344 hours), combining four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ENTSO-E Transparency Platform: day-ahead prices, load forecast, generation by fuel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ERA5 (Copernicus / ECMWF): hourly 2m temperature, 10m wind speed, solar radiation, precipitation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sz w:val="22"/>
          <w:szCs w:val="22"/>
        </w:rPr>
        <w:t xml:space="preserve">Derived features: Heating Degree Days (HDD), wind power proxy, Weather Stress Index (WSI)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2. Price Dynamics</w:t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2.1 Descriptive Statistics</w:t>
      </w:r>
    </w:p>
    <w:p>
      <w:pPr>
        <w:spacing w:after="100" w:before="80"/>
      </w:pPr>
      <w:r>
        <w:rPr>
          <w:sz w:val="22"/>
          <w:szCs w:val="22"/>
        </w:rPr>
        <w:t xml:space="preserve">The table below summarises the distribution of French day-ahead prices over the full sample period.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94.50 €/MWh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57.88 €/MWh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Std. Deviation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104.34 €/MWh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−134.94 €/MWh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2,987.78 €/MWh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Negative-price hours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~2.1% of observations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Hours above 200 €/MWh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~8.4% of observations</w:t>
            </w:r>
          </w:p>
        </w:tc>
      </w:tr>
    </w:tbl>
    <w:p>
      <w:pPr>
        <w:spacing w:after="80" w:before="120"/>
      </w:pPr>
    </w:p>
    <w:p>
      <w:pPr>
        <w:spacing w:after="100" w:before="80"/>
      </w:pPr>
      <w:r>
        <w:rPr>
          <w:sz w:val="22"/>
          <w:szCs w:val="22"/>
        </w:rPr>
        <w:t xml:space="preserve">The large gap between mean (94.50) and median (57.88) reflects strong positive skewness driven by crisis episodes in 2021–2022 (gas supply shock, post-COVID demand rebound, nuclear maintenance wave). Negative prices occur mainly during low-demand weekends with high solar and wind output.</w:t>
      </w:r>
    </w:p>
    <w:p>
      <w:pPr>
        <w:spacing w:before="160"/>
      </w:pPr>
    </w:p>
    <w:p>
      <w:pPr>
        <w:jc w:val="center"/>
      </w:pPr>
      <w:r>
        <w:drawing>
          <wp:inline distT="0" distB="0" distL="0" distR="0">
            <wp:extent cx="5334000" cy="1524000"/>
            <wp:effectExtent t="0" r="0" b="0" l="0"/>
            <wp:docPr id="1" name="price_series_full.png" descr="price_series_full.png" title="price_series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 — French day-ahead prices 2018–2024 (hourly). The 2021–2022 energy crisis is clearly visible.</w:t>
      </w:r>
    </w:p>
    <w:p>
      <w:pPr>
        <w:spacing w:before="120"/>
      </w:pPr>
    </w:p>
    <w:p>
      <w:pPr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price_distribution.png" descr="price_distribution.png" title="pric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 — Price distribution (left) and annual boxplots (right). The 2022 outliers compress the scale.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2.2 Seasonality</w:t>
      </w:r>
    </w:p>
    <w:p>
      <w:pPr>
        <w:spacing w:after="100" w:before="80"/>
      </w:pPr>
      <w:r>
        <w:rPr>
          <w:sz w:val="22"/>
          <w:szCs w:val="22"/>
        </w:rPr>
        <w:t xml:space="preserve">Prices exhibit strong intra-day, intra-week, and seasonal patterns. The heatmap (Figure 4) is particularly informative: morning peaks (7–9h) and evening peaks (18–20h) are consistent year-round, while winter months show structurally higher prices due to heating demand.</w:t>
      </w:r>
    </w:p>
    <w:p>
      <w:pPr>
        <w:spacing w:before="100"/>
      </w:pPr>
    </w:p>
    <w:p>
      <w:pPr>
        <w:jc w:val="center"/>
      </w:pPr>
      <w:r>
        <w:drawing>
          <wp:inline distT="0" distB="0" distL="0" distR="0">
            <wp:extent cx="5334000" cy="1666875"/>
            <wp:effectExtent t="0" r="0" b="0" l="0"/>
            <wp:docPr id="1" name="price_seasonality.png" descr="price_seasonality.png" title="price_seasona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 — Average price by month, day of week, and hour of day.</w:t>
      </w:r>
    </w:p>
    <w:p>
      <w:pPr>
        <w:spacing w:before="100"/>
      </w:pPr>
    </w:p>
    <w:p>
      <w:pPr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price_heatmap_hour_month.png" descr="price_heatmap_hour_month.png" title="price_heatmap_hour_mo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 — Heatmap of average price by hour × month. Dark red = high price, green = low price.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2.3 Nuclear Generation</w:t>
      </w:r>
    </w:p>
    <w:p>
      <w:pPr>
        <w:spacing w:after="100" w:before="80"/>
      </w:pPr>
      <w:r>
        <w:rPr>
          <w:sz w:val="22"/>
          <w:szCs w:val="22"/>
        </w:rPr>
        <w:t xml:space="preserve">France is structurally dependent on nuclear power (~70% of production). The 2022 crisis was amplified by an unprecedented nuclear maintenance wave that reduced availability to historical lows, pushing prices to extreme levels.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price_vs_nuclear.png" descr="price_vs_nuclear.png" title="price_vs_nucl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5 — Monthly average price (blue) vs. nuclear output (GW, orange). The inverse relationship is clear in 2022.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3. Weather Variables &amp; Impact on Prices</w:t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3.1 Overview</w:t>
      </w:r>
    </w:p>
    <w:p>
      <w:pPr>
        <w:spacing w:after="100" w:before="80"/>
      </w:pPr>
      <w:r>
        <w:rPr>
          <w:sz w:val="22"/>
          <w:szCs w:val="22"/>
        </w:rPr>
        <w:t xml:space="preserve">ERA5 reanalysis data provides hourly weather observations spatially averaged over mainland France. Figure 6 shows the monthly evolution of the four weather variables used in the model.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weather_overview.png" descr="weather_overview.png" title="weather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6 — Monthly averages of ERA5 weather variables for France (2018–2024).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3.2 Temperature &amp; Heating Demand</w:t>
      </w:r>
    </w:p>
    <w:p>
      <w:pPr>
        <w:spacing w:after="100" w:before="80"/>
      </w:pPr>
      <w:r>
        <w:rPr>
          <w:sz w:val="22"/>
          <w:szCs w:val="22"/>
        </w:rPr>
        <w:t xml:space="preserve">Cold temperatures drive up electricity demand through electric heating, a dominant effect in France. The U-shaped relationship in Figure 7 confirms this: both very cold and moderately warm periods see higher prices (cooling demand in summer), with the lowest prices in mild spring/autumn months.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price_vs_temperature.png" descr="price_vs_temperature.png" title="price_vs_temper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7 — Scatter and binned average price by temperature. U-shaped pattern reflects dual heating/cooling demand.</w:t>
      </w:r>
    </w:p>
    <w:p>
      <w:pPr>
        <w:spacing w:before="100"/>
      </w:pPr>
    </w:p>
    <w:p>
      <w:pPr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price_vs_hdd.png" descr="price_vs_hdd.png" title="price_vs_h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8 — Monthly price vs. Heating Degree Days (HDD). High HDD periods (winter) correlate with higher prices.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3.3 Wind Speed &amp; Renewable Generation</w:t>
      </w:r>
    </w:p>
    <w:p>
      <w:pPr>
        <w:spacing w:after="100" w:before="80"/>
      </w:pPr>
      <w:r>
        <w:rPr>
          <w:sz w:val="22"/>
          <w:szCs w:val="22"/>
        </w:rPr>
        <w:t xml:space="preserve">Wind generation in France (primarily onshore) can displace gas-fired peakers and lower prices significantly. Low-wind periods combined with cold temperatures create the most extreme price spikes.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price_vs_wind.png" descr="price_vs_wind.png" title="price_vs_wi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9 — Price vs. wind speed. Higher wind speed is associated with lower prices (merit-order effect).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3.4 Weather Stress Index</w:t>
      </w:r>
    </w:p>
    <w:p>
      <w:pPr>
        <w:spacing w:after="100" w:before="80"/>
      </w:pPr>
      <w:r>
        <w:rPr>
          <w:sz w:val="22"/>
          <w:szCs w:val="22"/>
        </w:rPr>
        <w:t xml:space="preserve">The Weather Stress Index (WSI) is a composite variable defined as HDD divided by wind speed. It captures simultaneous high-demand and low-renewable-supply conditions — the configuration most likely to produce extreme price spikes. The correlation between WSI and price is 0.42 (Pearson), the highest of all individual weather features.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weather_stress_index.png" descr="weather_stress_index.png" title="weather_stress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10 — Monthly WSI (orange dashed) vs. price (blue). Strong co-movement, particularly in winter 2021–2022.</w:t>
      </w:r>
    </w:p>
    <w:p>
      <w:pPr>
        <w:spacing w:before="120"/>
      </w:pPr>
    </w:p>
    <w:p>
      <w:pPr>
        <w:pStyle w:val="Heading2"/>
        <w:spacing w:after="100" w:before="200"/>
      </w:pPr>
      <w:r>
        <w:rPr>
          <w:b/>
          <w:bCs/>
          <w:color w:val="2E5FA3"/>
          <w:sz w:val="24"/>
          <w:szCs w:val="24"/>
        </w:rPr>
        <w:t xml:space="preserve">3.5 Correlation Structure</w:t>
      </w:r>
    </w:p>
    <w:p>
      <w:pPr>
        <w:spacing w:after="100" w:before="80"/>
      </w:pPr>
      <w:r>
        <w:rPr>
          <w:sz w:val="22"/>
          <w:szCs w:val="22"/>
        </w:rPr>
        <w:t xml:space="preserve">The correlation matrix below confirms the expected relationships: nuclear output is negatively correlated with price, wind is negatively correlated, load positively correlated, and the WSI positively correlated.</w:t>
      </w:r>
    </w:p>
    <w:p>
      <w:pPr>
        <w:spacing w:before="80"/>
      </w:pPr>
    </w:p>
    <w:p>
      <w:pPr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correlation_full.png" descr="correlation_full.png" title="correlation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11 — Correlation matrix across price, weather, and fundamental variables.</w:t>
      </w:r>
    </w:p>
    <w:p>
      <w:pPr>
        <w:spacing w:before="160"/>
      </w:pP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4. Key Findings &amp; Modelling Implications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sz w:val="22"/>
          <w:szCs w:val="22"/>
        </w:rPr>
        <w:t xml:space="preserve">Strong seasonality at hourly, daily, and monthly levels — calendar features (hour, day-of-week, month) are essential inputs.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Price lags (T−24h, T−48h, T−168h) capture auto-regressive structure and regime persistence.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Nuclear availability is the dominant French market fundamental — it should be treated as a primary feature.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Weather Stress Index (WSI = HDD / wind speed) has higher correlation with price than raw temperature or wind alone — justifying its inclusion as an engineered feature.</w:t>
      </w:r>
    </w:p>
    <w:p>
      <w:pPr>
        <w:pStyle w:val="ListParagraph"/>
        <w:numPr>
          <w:ilvl w:val="0"/>
          <w:numId w:val="3"/>
        </w:numPr>
        <w:spacing w:after="120" w:before="60"/>
      </w:pPr>
      <w:r>
        <w:rPr>
          <w:sz w:val="22"/>
          <w:szCs w:val="22"/>
        </w:rPr>
        <w:t xml:space="preserve">Extreme price events (&gt;200 €/MWh) cluster in 2021–2022; robust models should be evaluated with and without this crisis period.</w:t>
      </w:r>
    </w:p>
    <w:p>
      <w:pPr>
        <w:pBdr>
          <w:bottom w:val="single" w:color="CCCCCC" w:sz="4"/>
        </w:pBdr>
        <w:spacing w:after="100" w:before="100"/>
      </w:pPr>
    </w:p>
    <w:p>
      <w:pPr>
        <w:spacing w:before="120"/>
        <w:jc w:val="right"/>
      </w:pPr>
      <w:r>
        <w:rPr>
          <w:i/>
          <w:iCs/>
          <w:color w:val="888888"/>
          <w:sz w:val="18"/>
          <w:szCs w:val="18"/>
        </w:rPr>
        <w:t xml:space="preserve">Leo Camberleng — EDHEC MSc Data Analysis &amp; AI — May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tabs>
        <w:tab w:val="right" w:pos="9026"/>
      </w:tabs>
    </w:pPr>
    <w:r>
      <w:rPr>
        <w:color w:val="555555"/>
        <w:sz w:val="18"/>
        <w:szCs w:val="18"/>
      </w:rPr>
      <w:t xml:space="preserve">EDA Report — French Day-Ahead Power Prices</w:t>
    </w:r>
    <w:r>
      <w:rPr>
        <w:color w:val="555555"/>
        <w:sz w:val="18"/>
        <w:szCs w:val="18"/>
      </w:rPr>
      <w:t xml:space="preserve">	EDHEC MSc Data Analysis &amp;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55c6c22e8a2d947f30ac9372da9895613e5ce2.png"/><Relationship Id="rId10" Type="http://schemas.openxmlformats.org/officeDocument/2006/relationships/image" Target="media/a373c95ef5b5872f62458d6bf8ef5866900cef48.png"/><Relationship Id="rId11" Type="http://schemas.openxmlformats.org/officeDocument/2006/relationships/image" Target="media/85bc9f8efb897575f24dabb9f0f516de20a9a287.png"/><Relationship Id="rId12" Type="http://schemas.openxmlformats.org/officeDocument/2006/relationships/image" Target="media/b40d6ce577b0bd841916b542056f297c3f4e7692.png"/><Relationship Id="rId13" Type="http://schemas.openxmlformats.org/officeDocument/2006/relationships/image" Target="media/296002f66ff8857733dff787eaaf0e95596e9529.png"/><Relationship Id="rId14" Type="http://schemas.openxmlformats.org/officeDocument/2006/relationships/image" Target="media/6980419140a02b102d0b3bfb7fb11f4f0c0b9160.png"/><Relationship Id="rId15" Type="http://schemas.openxmlformats.org/officeDocument/2006/relationships/image" Target="media/e20fae571dd4d53669a2bab1c8d6810aa0430084.png"/><Relationship Id="rId16" Type="http://schemas.openxmlformats.org/officeDocument/2006/relationships/image" Target="media/0b3aeea3b23a68b58999b18eb86e99e0efe51bbc.png"/><Relationship Id="rId17" Type="http://schemas.openxmlformats.org/officeDocument/2006/relationships/image" Target="media/28467a2e87019b668580daa6f8fc6c7a58621180.png"/><Relationship Id="rId18" Type="http://schemas.openxmlformats.org/officeDocument/2006/relationships/image" Target="media/0c14ec36437bfd4c812ac7d4939e0dcaba4b694f.png"/><Relationship Id="rId19" Type="http://schemas.openxmlformats.org/officeDocument/2006/relationships/image" Target="media/7582e964fb6ed5ca5b3b2d727c8591961395d9e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2026-05-08T19:43:54.142Z</dcterms:created>
  <dcterms:modified xsi:type="dcterms:W3CDTF">2026-05-08T19:43:54.143Z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