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Cronograma de Acessibilidade</w:t>
        <w:br/>
        <w:t>e Tecnologias Assistivas</w:t>
      </w:r>
    </w:p>
    <w:p>
      <w:pPr>
        <w:pStyle w:val="Subtitle"/>
      </w:pPr>
      <w:r>
        <w:t>Projeto de Extensão – LendoJuntos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6" w:space="0" w:color="D9E1E5"/>
          <w:left w:val="single" w:sz="6" w:space="0" w:color="D9E1E5"/>
          <w:bottom w:val="single" w:sz="6" w:space="0" w:color="D9E1E5"/>
          <w:right w:val="single" w:sz="6" w:space="0" w:color="D9E1E5"/>
          <w:insideH w:val="single" w:sz="6" w:space="0" w:color="D9E1E5"/>
          <w:insideV w:val="single" w:sz="6" w:space="0" w:color="D9E1E5"/>
        </w:tblBorders>
      </w:tblPr>
      <w:tblGrid>
        <w:gridCol w:w="2324"/>
        <w:gridCol w:w="7483"/>
      </w:tblGrid>
      <w:tr>
        <w:trPr>
          <w:cantSplit/>
        </w:trPr>
        <w:tc>
          <w:tcPr>
            <w:tcW w:type="dxa" w:w="2324"/>
            <w:vAlign w:val="center"/>
            <w:tcMar>
              <w:top w:w="100" w:type="dxa"/>
              <w:start w:w="100" w:type="dxa"/>
              <w:bottom w:w="100" w:type="dxa"/>
              <w:end w:w="100" w:type="dxa"/>
            </w:tcMar>
            <w:shd w:fill="EAF2F5"/>
          </w:tcPr>
          <w:p>
            <w:pPr>
              <w:spacing w:after="0" w:before="0" w:line="240" w:lineRule="auto"/>
              <w:jc w:val="left"/>
            </w:pPr>
            <w:r/>
            <w:r>
              <w:rPr>
                <w:rFonts w:ascii="Aptos" w:hAnsi="Aptos"/>
                <w:b/>
                <w:color w:val="17324D"/>
                <w:sz w:val="18"/>
              </w:rPr>
              <w:t>Aluno</w:t>
            </w:r>
          </w:p>
        </w:tc>
        <w:tc>
          <w:tcPr>
            <w:tcW w:type="dxa" w:w="7483"/>
            <w:vAlign w:val="center"/>
            <w:tcMar>
              <w:top w:w="100" w:type="dxa"/>
              <w:start w:w="100" w:type="dxa"/>
              <w:bottom w:w="100" w:type="dxa"/>
              <w:end w:w="100" w:type="dxa"/>
            </w:tcMar>
          </w:tcPr>
          <w:p>
            <w:pPr>
              <w:spacing w:after="0" w:before="0" w:line="240" w:lineRule="auto"/>
              <w:jc w:val="left"/>
            </w:pPr>
            <w:r/>
            <w:r>
              <w:rPr>
                <w:rFonts w:ascii="Aptos" w:hAnsi="Aptos"/>
                <w:b w:val="0"/>
                <w:color w:val="20262B"/>
                <w:sz w:val="18"/>
              </w:rPr>
              <w:t>Leonardo Ciarlini Guilhon</w:t>
            </w:r>
          </w:p>
        </w:tc>
      </w:tr>
      <w:tr>
        <w:trPr>
          <w:cantSplit/>
        </w:trPr>
        <w:tc>
          <w:tcPr>
            <w:tcW w:type="dxa" w:w="2324"/>
            <w:vAlign w:val="center"/>
            <w:tcMar>
              <w:top w:w="100" w:type="dxa"/>
              <w:start w:w="100" w:type="dxa"/>
              <w:bottom w:w="100" w:type="dxa"/>
              <w:end w:w="100" w:type="dxa"/>
            </w:tcMar>
            <w:shd w:fill="EAF2F5"/>
          </w:tcPr>
          <w:p>
            <w:pPr>
              <w:spacing w:after="0" w:before="0" w:line="240" w:lineRule="auto"/>
              <w:jc w:val="left"/>
            </w:pPr>
            <w:r/>
            <w:r>
              <w:rPr>
                <w:rFonts w:ascii="Aptos" w:hAnsi="Aptos"/>
                <w:b/>
                <w:color w:val="17324D"/>
                <w:sz w:val="18"/>
              </w:rPr>
              <w:t>Período</w:t>
            </w:r>
          </w:p>
        </w:tc>
        <w:tc>
          <w:tcPr>
            <w:tcW w:type="dxa" w:w="7483"/>
            <w:vAlign w:val="center"/>
            <w:tcMar>
              <w:top w:w="100" w:type="dxa"/>
              <w:start w:w="100" w:type="dxa"/>
              <w:bottom w:w="100" w:type="dxa"/>
              <w:end w:w="100" w:type="dxa"/>
            </w:tcMar>
          </w:tcPr>
          <w:p>
            <w:r>
              <w:t>24/08/2026 a 29/11/2026</w:t>
            </w:r>
          </w:p>
        </w:tc>
      </w:tr>
      <w:tr>
        <w:trPr>
          <w:cantSplit/>
        </w:trPr>
        <w:tc>
          <w:tcPr>
            <w:tcW w:type="dxa" w:w="2324"/>
            <w:vAlign w:val="center"/>
            <w:tcMar>
              <w:top w:w="100" w:type="dxa"/>
              <w:start w:w="100" w:type="dxa"/>
              <w:bottom w:w="100" w:type="dxa"/>
              <w:end w:w="100" w:type="dxa"/>
            </w:tcMar>
            <w:shd w:fill="EAF2F5"/>
          </w:tcPr>
          <w:p>
            <w:pPr>
              <w:spacing w:after="0" w:before="0" w:line="240" w:lineRule="auto"/>
              <w:jc w:val="left"/>
            </w:pPr>
            <w:r/>
            <w:r>
              <w:rPr>
                <w:rFonts w:ascii="Aptos" w:hAnsi="Aptos"/>
                <w:b/>
                <w:color w:val="17324D"/>
                <w:sz w:val="18"/>
              </w:rPr>
              <w:t>Carga horária</w:t>
            </w:r>
          </w:p>
        </w:tc>
        <w:tc>
          <w:tcPr>
            <w:tcW w:type="dxa" w:w="7483"/>
            <w:vAlign w:val="center"/>
            <w:tcMar>
              <w:top w:w="100" w:type="dxa"/>
              <w:start w:w="100" w:type="dxa"/>
              <w:bottom w:w="100" w:type="dxa"/>
              <w:end w:w="100" w:type="dxa"/>
            </w:tcMar>
          </w:tcPr>
          <w:p>
            <w:pPr>
              <w:spacing w:after="0" w:before="0" w:line="240" w:lineRule="auto"/>
              <w:jc w:val="left"/>
            </w:pPr>
            <w:r/>
            <w:r>
              <w:rPr>
                <w:rFonts w:ascii="Aptos" w:hAnsi="Aptos"/>
                <w:b w:val="0"/>
                <w:color w:val="20262B"/>
                <w:sz w:val="18"/>
              </w:rPr>
              <w:t>60 horas planejadas (mínimo exigido: 59 horas)</w:t>
            </w:r>
          </w:p>
        </w:tc>
      </w:tr>
      <w:tr>
        <w:trPr>
          <w:cantSplit/>
        </w:trPr>
        <w:tc>
          <w:tcPr>
            <w:tcW w:type="dxa" w:w="2324"/>
            <w:vAlign w:val="center"/>
            <w:tcMar>
              <w:top w:w="100" w:type="dxa"/>
              <w:start w:w="100" w:type="dxa"/>
              <w:bottom w:w="100" w:type="dxa"/>
              <w:end w:w="100" w:type="dxa"/>
            </w:tcMar>
            <w:shd w:fill="EAF2F5"/>
          </w:tcPr>
          <w:p>
            <w:pPr>
              <w:spacing w:after="0" w:before="0" w:line="240" w:lineRule="auto"/>
              <w:jc w:val="left"/>
            </w:pPr>
            <w:r/>
            <w:r>
              <w:rPr>
                <w:rFonts w:ascii="Aptos" w:hAnsi="Aptos"/>
                <w:b/>
                <w:color w:val="17324D"/>
                <w:sz w:val="18"/>
              </w:rPr>
              <w:t>Projeto</w:t>
            </w:r>
          </w:p>
        </w:tc>
        <w:tc>
          <w:tcPr>
            <w:tcW w:type="dxa" w:w="7483"/>
            <w:vAlign w:val="center"/>
            <w:tcMar>
              <w:top w:w="100" w:type="dxa"/>
              <w:start w:w="100" w:type="dxa"/>
              <w:bottom w:w="100" w:type="dxa"/>
              <w:end w:w="100" w:type="dxa"/>
            </w:tcMar>
          </w:tcPr>
          <w:p>
            <w:pPr>
              <w:spacing w:after="0" w:before="0" w:line="240" w:lineRule="auto"/>
              <w:jc w:val="left"/>
            </w:pPr>
            <w:r/>
            <w:r>
              <w:rPr>
                <w:rFonts w:ascii="Aptos" w:hAnsi="Aptos"/>
                <w:b w:val="0"/>
                <w:color w:val="20262B"/>
                <w:sz w:val="18"/>
              </w:rPr>
              <w:t>LendoJuntos – plataforma web para organização de clubes do livro</w:t>
            </w:r>
          </w:p>
        </w:tc>
      </w:tr>
      <w:tr>
        <w:trPr>
          <w:cantSplit/>
        </w:trPr>
        <w:tc>
          <w:tcPr>
            <w:tcW w:type="dxa" w:w="2324"/>
            <w:vAlign w:val="center"/>
            <w:tcMar>
              <w:top w:w="100" w:type="dxa"/>
              <w:start w:w="100" w:type="dxa"/>
              <w:bottom w:w="100" w:type="dxa"/>
              <w:end w:w="100" w:type="dxa"/>
            </w:tcMar>
            <w:shd w:fill="EAF2F5"/>
          </w:tcPr>
          <w:p>
            <w:pPr>
              <w:spacing w:after="0" w:before="0" w:line="240" w:lineRule="auto"/>
              <w:jc w:val="left"/>
            </w:pPr>
            <w:r/>
            <w:r>
              <w:rPr>
                <w:rFonts w:ascii="Aptos" w:hAnsi="Aptos"/>
                <w:b/>
                <w:color w:val="17324D"/>
                <w:sz w:val="18"/>
              </w:rPr>
              <w:t>Objetivo</w:t>
            </w:r>
          </w:p>
        </w:tc>
        <w:tc>
          <w:tcPr>
            <w:tcW w:type="dxa" w:w="7483"/>
            <w:vAlign w:val="center"/>
            <w:tcMar>
              <w:top w:w="100" w:type="dxa"/>
              <w:start w:w="100" w:type="dxa"/>
              <w:bottom w:w="100" w:type="dxa"/>
              <w:end w:w="100" w:type="dxa"/>
            </w:tcMar>
          </w:tcPr>
          <w:p>
            <w:pPr>
              <w:spacing w:after="0" w:before="0" w:line="240" w:lineRule="auto"/>
              <w:jc w:val="left"/>
            </w:pPr>
            <w:r/>
            <w:r>
              <w:rPr>
                <w:rFonts w:ascii="Aptos" w:hAnsi="Aptos"/>
                <w:b w:val="0"/>
                <w:color w:val="20262B"/>
                <w:sz w:val="18"/>
              </w:rPr>
              <w:t>Reduzir barreiras de acesso nos fluxos centrais da plataforma e melhorar a compatibilidade com tecnologias assistivas.</w:t>
            </w:r>
          </w:p>
        </w:tc>
      </w:tr>
      <w:tr>
        <w:trPr>
          <w:cantSplit/>
        </w:trPr>
        <w:tc>
          <w:tcPr>
            <w:tcW w:type="dxa" w:w="2324"/>
            <w:vAlign w:val="center"/>
            <w:tcMar>
              <w:top w:w="100" w:type="dxa"/>
              <w:start w:w="100" w:type="dxa"/>
              <w:bottom w:w="100" w:type="dxa"/>
              <w:end w:w="100" w:type="dxa"/>
            </w:tcMar>
            <w:shd w:fill="EAF2F5"/>
          </w:tcPr>
          <w:p>
            <w:pPr>
              <w:spacing w:after="0" w:before="0" w:line="240" w:lineRule="auto"/>
              <w:jc w:val="left"/>
            </w:pPr>
            <w:r/>
            <w:r>
              <w:rPr>
                <w:rFonts w:ascii="Aptos" w:hAnsi="Aptos"/>
                <w:b/>
                <w:color w:val="17324D"/>
                <w:sz w:val="18"/>
              </w:rPr>
              <w:t>Referências</w:t>
            </w:r>
          </w:p>
        </w:tc>
        <w:tc>
          <w:tcPr>
            <w:tcW w:type="dxa" w:w="7483"/>
            <w:vAlign w:val="center"/>
            <w:tcMar>
              <w:top w:w="100" w:type="dxa"/>
              <w:start w:w="100" w:type="dxa"/>
              <w:bottom w:w="100" w:type="dxa"/>
              <w:end w:w="100" w:type="dxa"/>
            </w:tcMar>
          </w:tcPr>
          <w:p>
            <w:pPr>
              <w:spacing w:after="0" w:before="0" w:line="240" w:lineRule="auto"/>
              <w:jc w:val="left"/>
            </w:pPr>
            <w:r/>
            <w:r>
              <w:rPr>
                <w:rFonts w:ascii="Aptos" w:hAnsi="Aptos"/>
                <w:b w:val="0"/>
                <w:color w:val="20262B"/>
                <w:sz w:val="18"/>
              </w:rPr>
              <w:t>WCAG 2.2 nível AA, eMAG 3.1 e padrões WAI-ARIA aplicáveis</w:t>
            </w:r>
          </w:p>
        </w:tc>
      </w:tr>
    </w:tbl>
    <w:p>
      <w:pPr>
        <w:spacing w:before="160" w:after="0"/>
      </w:pPr>
      <w:r>
        <w:rPr>
          <w:i/>
          <w:color w:val="4F5A61"/>
          <w:sz w:val="18"/>
        </w:rPr>
        <w:t>Premissa: as horas abaixo são propostas. Durante a execução, cada atividade deverá ser registrada com sua duração real e respectiva evidência; a coluna “Horas Aceitas” da planilha permanece reservada ao professor.</w:t>
      </w:r>
    </w:p>
    <w:p>
      <w:pPr>
        <w:pStyle w:val="Heading1"/>
        <w:keepNext/>
        <w:keepLines/>
      </w:pPr>
      <w:r>
        <w:t>1. Escopo da intervenção</w:t>
      </w:r>
    </w:p>
    <w:p>
      <w:r>
        <w:t>A intervenção dará continuidade ao MVP já desenvolvido, concentrando-se na acessibilidade do frontend React e nos ajustes de comportamento necessários para que autenticação, dashboard, clubes, livros, encontros, comentários e perfil possam ser utilizados com mais autonomia por pessoas com deficiência. O backend será alterado apenas quando necessário para oferecer mensagens e estados compreensíveis na interface.</w:t>
      </w:r>
    </w:p>
    <w:p>
      <w:pPr>
        <w:pStyle w:val="ListBullet"/>
        <w:spacing w:after="60"/>
        <w:ind w:left="312" w:hanging="170"/>
      </w:pPr>
      <w:r>
        <w:rPr>
          <w:rFonts w:ascii="Aptos" w:hAnsi="Aptos"/>
          <w:color w:val="20262B"/>
          <w:sz w:val="20"/>
        </w:rPr>
        <w:t>Público beneficiado: participantes de clubes do livro, incluindo pessoas cegas ou com baixa visão, pessoas com limitações motoras, cognitivas ou de leitura e pessoas que utilizam teclado, ampliação ou alto contraste.</w:t>
      </w:r>
    </w:p>
    <w:p>
      <w:pPr>
        <w:pStyle w:val="ListBullet"/>
        <w:spacing w:after="60"/>
        <w:ind w:left="312" w:hanging="170"/>
      </w:pPr>
      <w:r>
        <w:rPr>
          <w:rFonts w:ascii="Aptos" w:hAnsi="Aptos"/>
          <w:color w:val="20262B"/>
          <w:sz w:val="20"/>
        </w:rPr>
        <w:t>Tecnologias assistivas e modos de acesso considerados: leitor de tela NVDA, navegação somente por teclado, zoom do navegador, alto contraste do sistema e viewport reduzido.</w:t>
      </w:r>
    </w:p>
    <w:p>
      <w:pPr>
        <w:pStyle w:val="ListBullet"/>
        <w:spacing w:after="60"/>
        <w:ind w:left="312" w:hanging="170"/>
      </w:pPr>
      <w:r>
        <w:rPr>
          <w:rFonts w:ascii="Aptos" w:hAnsi="Aptos"/>
          <w:color w:val="20262B"/>
          <w:sz w:val="20"/>
        </w:rPr>
        <w:t>Meta técnica: buscar atendimento aos critérios aplicáveis da WCAG 2.2 nos níveis A e AA, sem declarar conformidade integral antes da avaliação final.</w:t>
      </w:r>
    </w:p>
    <w:p>
      <w:pPr>
        <w:pStyle w:val="Heading1"/>
        <w:keepNext/>
        <w:keepLines/>
      </w:pPr>
      <w:r>
        <w:t>2. Distribuição das 60 horas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6" w:space="0" w:color="D9E1E5"/>
          <w:left w:val="single" w:sz="6" w:space="0" w:color="D9E1E5"/>
          <w:bottom w:val="single" w:sz="6" w:space="0" w:color="D9E1E5"/>
          <w:right w:val="single" w:sz="6" w:space="0" w:color="D9E1E5"/>
          <w:insideH w:val="single" w:sz="6" w:space="0" w:color="D9E1E5"/>
          <w:insideV w:val="single" w:sz="6" w:space="0" w:color="D9E1E5"/>
        </w:tblBorders>
      </w:tblPr>
      <w:tblGrid>
        <w:gridCol w:w="2494"/>
        <w:gridCol w:w="2494"/>
        <w:gridCol w:w="2494"/>
        <w:gridCol w:w="2494"/>
      </w:tblGrid>
      <w:tr>
        <w:trPr>
          <w:tblHeader w:val="true"/>
        </w:trPr>
        <w:tc>
          <w:tcPr>
            <w:tcW w:type="dxa" w:w="3572"/>
            <w:vAlign w:val="center"/>
            <w:tcMar>
              <w:top w:w="100" w:type="dxa"/>
              <w:start w:w="100" w:type="dxa"/>
              <w:bottom w:w="100" w:type="dxa"/>
              <w:end w:w="100" w:type="dxa"/>
            </w:tcMar>
            <w:shd w:fill="17324D"/>
          </w:tcPr>
          <w:p>
            <w:pPr>
              <w:spacing w:after="0" w:before="0" w:line="240" w:lineRule="auto"/>
              <w:jc w:val="left"/>
            </w:pPr>
            <w:r/>
            <w:r>
              <w:rPr>
                <w:rFonts w:ascii="Aptos" w:hAnsi="Aptos"/>
                <w:b/>
                <w:color w:val="FFFFFF"/>
                <w:sz w:val="17"/>
              </w:rPr>
              <w:t>Fase</w:t>
            </w:r>
          </w:p>
        </w:tc>
        <w:tc>
          <w:tcPr>
            <w:tcW w:type="dxa" w:w="2551"/>
            <w:vAlign w:val="center"/>
            <w:tcMar>
              <w:top w:w="100" w:type="dxa"/>
              <w:start w:w="100" w:type="dxa"/>
              <w:bottom w:w="100" w:type="dxa"/>
              <w:end w:w="100" w:type="dxa"/>
            </w:tcMar>
            <w:shd w:fill="17324D"/>
          </w:tcPr>
          <w:p>
            <w:pPr>
              <w:spacing w:after="0" w:before="0" w:line="240" w:lineRule="auto"/>
              <w:jc w:val="center"/>
            </w:pPr>
            <w:r/>
            <w:r>
              <w:rPr>
                <w:rFonts w:ascii="Aptos" w:hAnsi="Aptos"/>
                <w:b/>
                <w:color w:val="FFFFFF"/>
                <w:sz w:val="17"/>
              </w:rPr>
              <w:t>Período</w:t>
            </w:r>
          </w:p>
        </w:tc>
        <w:tc>
          <w:tcPr>
            <w:tcW w:type="dxa" w:w="964"/>
            <w:vAlign w:val="center"/>
            <w:tcMar>
              <w:top w:w="100" w:type="dxa"/>
              <w:start w:w="100" w:type="dxa"/>
              <w:bottom w:w="100" w:type="dxa"/>
              <w:end w:w="100" w:type="dxa"/>
            </w:tcMar>
            <w:shd w:fill="17324D"/>
          </w:tcPr>
          <w:p>
            <w:pPr>
              <w:spacing w:after="0" w:before="0" w:line="240" w:lineRule="auto"/>
              <w:jc w:val="center"/>
            </w:pPr>
            <w:r/>
            <w:r>
              <w:rPr>
                <w:rFonts w:ascii="Aptos" w:hAnsi="Aptos"/>
                <w:b/>
                <w:color w:val="FFFFFF"/>
                <w:sz w:val="17"/>
              </w:rPr>
              <w:t>Horas</w:t>
            </w:r>
          </w:p>
        </w:tc>
        <w:tc>
          <w:tcPr>
            <w:tcW w:type="dxa" w:w="2835"/>
            <w:vAlign w:val="center"/>
            <w:tcMar>
              <w:top w:w="100" w:type="dxa"/>
              <w:start w:w="100" w:type="dxa"/>
              <w:bottom w:w="100" w:type="dxa"/>
              <w:end w:w="100" w:type="dxa"/>
            </w:tcMar>
            <w:shd w:fill="17324D"/>
          </w:tcPr>
          <w:p>
            <w:pPr>
              <w:spacing w:after="0" w:before="0" w:line="240" w:lineRule="auto"/>
              <w:jc w:val="left"/>
            </w:pPr>
            <w:r/>
            <w:r>
              <w:rPr>
                <w:rFonts w:ascii="Aptos" w:hAnsi="Aptos"/>
                <w:b/>
                <w:color w:val="FFFFFF"/>
                <w:sz w:val="17"/>
              </w:rPr>
              <w:t>Resultado principal</w:t>
            </w:r>
          </w:p>
        </w:tc>
      </w:tr>
      <w:tr>
        <w:trPr>
          <w:cantSplit/>
        </w:trPr>
        <w:tc>
          <w:tcPr>
            <w:tcW w:type="dxa" w:w="3572"/>
            <w:shd w:fill="FFFFFF"/>
            <w:vAlign w:val="center"/>
            <w:tcMar>
              <w:top w:w="100" w:type="dxa"/>
              <w:start w:w="100" w:type="dxa"/>
              <w:bottom w:w="100" w:type="dxa"/>
              <w:end w:w="10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Aptos" w:hAnsi="Aptos"/>
                <w:b w:val="0"/>
                <w:color w:val="20262B"/>
                <w:sz w:val="17"/>
              </w:rPr>
              <w:t>1. Diagnóstico e fundamentação</w:t>
            </w:r>
          </w:p>
        </w:tc>
        <w:tc>
          <w:tcPr>
            <w:tcW w:type="dxa" w:w="2551"/>
            <w:shd w:fill="FFFFFF"/>
            <w:vAlign w:val="center"/>
            <w:tcMar>
              <w:top w:w="100" w:type="dxa"/>
              <w:start w:w="100" w:type="dxa"/>
              <w:bottom w:w="100" w:type="dxa"/>
              <w:end w:w="10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Aptos" w:hAnsi="Aptos"/>
                <w:b w:val="0"/>
                <w:color w:val="20262B"/>
                <w:sz w:val="17"/>
              </w:rPr>
              <w:t>24/08 a 13/09</w:t>
            </w:r>
          </w:p>
        </w:tc>
        <w:tc>
          <w:tcPr>
            <w:tcW w:type="dxa" w:w="964"/>
            <w:shd w:fill="FFFFFF"/>
            <w:vAlign w:val="center"/>
            <w:tcMar>
              <w:top w:w="100" w:type="dxa"/>
              <w:start w:w="100" w:type="dxa"/>
              <w:bottom w:w="100" w:type="dxa"/>
              <w:end w:w="10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Aptos" w:hAnsi="Aptos"/>
                <w:b w:val="0"/>
                <w:color w:val="20262B"/>
                <w:sz w:val="17"/>
              </w:rPr>
              <w:t>12 h</w:t>
            </w:r>
          </w:p>
        </w:tc>
        <w:tc>
          <w:tcPr>
            <w:tcW w:type="dxa" w:w="2835"/>
            <w:shd w:fill="FFFFFF"/>
            <w:vAlign w:val="center"/>
            <w:tcMar>
              <w:top w:w="100" w:type="dxa"/>
              <w:start w:w="100" w:type="dxa"/>
              <w:bottom w:w="100" w:type="dxa"/>
              <w:end w:w="10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Aptos" w:hAnsi="Aptos"/>
                <w:b w:val="0"/>
                <w:color w:val="20262B"/>
                <w:sz w:val="17"/>
              </w:rPr>
              <w:t>Linha de base e backlog priorizado</w:t>
            </w:r>
          </w:p>
        </w:tc>
      </w:tr>
      <w:tr>
        <w:trPr>
          <w:cantSplit/>
        </w:trPr>
        <w:tc>
          <w:tcPr>
            <w:tcW w:type="dxa" w:w="3572"/>
            <w:shd w:fill="F3F5F6"/>
            <w:vAlign w:val="center"/>
            <w:tcMar>
              <w:top w:w="100" w:type="dxa"/>
              <w:start w:w="100" w:type="dxa"/>
              <w:bottom w:w="100" w:type="dxa"/>
              <w:end w:w="10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Aptos" w:hAnsi="Aptos"/>
                <w:b w:val="0"/>
                <w:color w:val="20262B"/>
                <w:sz w:val="17"/>
              </w:rPr>
              <w:t>2. Desenho acessível e metodologia</w:t>
            </w:r>
          </w:p>
        </w:tc>
        <w:tc>
          <w:tcPr>
            <w:tcW w:type="dxa" w:w="2551"/>
            <w:shd w:fill="F3F5F6"/>
            <w:vAlign w:val="center"/>
            <w:tcMar>
              <w:top w:w="100" w:type="dxa"/>
              <w:start w:w="100" w:type="dxa"/>
              <w:bottom w:w="100" w:type="dxa"/>
              <w:end w:w="10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Aptos" w:hAnsi="Aptos"/>
                <w:b w:val="0"/>
                <w:color w:val="20262B"/>
                <w:sz w:val="17"/>
              </w:rPr>
              <w:t>14/09 a 04/10</w:t>
            </w:r>
          </w:p>
        </w:tc>
        <w:tc>
          <w:tcPr>
            <w:tcW w:type="dxa" w:w="964"/>
            <w:shd w:fill="F3F5F6"/>
            <w:vAlign w:val="center"/>
            <w:tcMar>
              <w:top w:w="100" w:type="dxa"/>
              <w:start w:w="100" w:type="dxa"/>
              <w:bottom w:w="100" w:type="dxa"/>
              <w:end w:w="10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Aptos" w:hAnsi="Aptos"/>
                <w:b w:val="0"/>
                <w:color w:val="20262B"/>
                <w:sz w:val="17"/>
              </w:rPr>
              <w:t>12 h</w:t>
            </w:r>
          </w:p>
        </w:tc>
        <w:tc>
          <w:tcPr>
            <w:tcW w:type="dxa" w:w="2835"/>
            <w:shd w:fill="F3F5F6"/>
            <w:vAlign w:val="center"/>
            <w:tcMar>
              <w:top w:w="100" w:type="dxa"/>
              <w:start w:w="100" w:type="dxa"/>
              <w:bottom w:w="100" w:type="dxa"/>
              <w:end w:w="10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Aptos" w:hAnsi="Aptos"/>
                <w:b w:val="0"/>
                <w:color w:val="20262B"/>
                <w:sz w:val="17"/>
              </w:rPr>
              <w:t>Plano de testes e protótipo acessível</w:t>
            </w:r>
          </w:p>
        </w:tc>
      </w:tr>
      <w:tr>
        <w:trPr>
          <w:cantSplit/>
        </w:trPr>
        <w:tc>
          <w:tcPr>
            <w:tcW w:type="dxa" w:w="3572"/>
            <w:shd w:fill="FFFFFF"/>
            <w:vAlign w:val="center"/>
            <w:tcMar>
              <w:top w:w="100" w:type="dxa"/>
              <w:start w:w="100" w:type="dxa"/>
              <w:bottom w:w="100" w:type="dxa"/>
              <w:end w:w="10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Aptos" w:hAnsi="Aptos"/>
                <w:b w:val="0"/>
                <w:color w:val="20262B"/>
                <w:sz w:val="17"/>
              </w:rPr>
              <w:t>3. Implementação da intervenção</w:t>
            </w:r>
          </w:p>
        </w:tc>
        <w:tc>
          <w:tcPr>
            <w:tcW w:type="dxa" w:w="2551"/>
            <w:shd w:fill="FFFFFF"/>
            <w:vAlign w:val="center"/>
            <w:tcMar>
              <w:top w:w="100" w:type="dxa"/>
              <w:start w:w="100" w:type="dxa"/>
              <w:bottom w:w="100" w:type="dxa"/>
              <w:end w:w="10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Aptos" w:hAnsi="Aptos"/>
                <w:b w:val="0"/>
                <w:color w:val="20262B"/>
                <w:sz w:val="17"/>
              </w:rPr>
              <w:t>05/10 a 08/11</w:t>
            </w:r>
          </w:p>
        </w:tc>
        <w:tc>
          <w:tcPr>
            <w:tcW w:type="dxa" w:w="964"/>
            <w:shd w:fill="FFFFFF"/>
            <w:vAlign w:val="center"/>
            <w:tcMar>
              <w:top w:w="100" w:type="dxa"/>
              <w:start w:w="100" w:type="dxa"/>
              <w:bottom w:w="100" w:type="dxa"/>
              <w:end w:w="10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Aptos" w:hAnsi="Aptos"/>
                <w:b w:val="0"/>
                <w:color w:val="20262B"/>
                <w:sz w:val="17"/>
              </w:rPr>
              <w:t>24 h</w:t>
            </w:r>
          </w:p>
        </w:tc>
        <w:tc>
          <w:tcPr>
            <w:tcW w:type="dxa" w:w="2835"/>
            <w:shd w:fill="FFFFFF"/>
            <w:vAlign w:val="center"/>
            <w:tcMar>
              <w:top w:w="100" w:type="dxa"/>
              <w:start w:w="100" w:type="dxa"/>
              <w:bottom w:w="100" w:type="dxa"/>
              <w:end w:w="10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Aptos" w:hAnsi="Aptos"/>
                <w:b w:val="0"/>
                <w:color w:val="20262B"/>
                <w:sz w:val="17"/>
              </w:rPr>
              <w:t>Fluxos centrais adequados e testáveis</w:t>
            </w:r>
          </w:p>
        </w:tc>
      </w:tr>
      <w:tr>
        <w:trPr>
          <w:cantSplit/>
        </w:trPr>
        <w:tc>
          <w:tcPr>
            <w:tcW w:type="dxa" w:w="3572"/>
            <w:shd w:fill="F3F5F6"/>
            <w:vAlign w:val="center"/>
            <w:tcMar>
              <w:top w:w="100" w:type="dxa"/>
              <w:start w:w="100" w:type="dxa"/>
              <w:bottom w:w="100" w:type="dxa"/>
              <w:end w:w="10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Aptos" w:hAnsi="Aptos"/>
                <w:b w:val="0"/>
                <w:color w:val="20262B"/>
                <w:sz w:val="17"/>
              </w:rPr>
              <w:t>4. Validação, divulgação e entrega</w:t>
            </w:r>
          </w:p>
        </w:tc>
        <w:tc>
          <w:tcPr>
            <w:tcW w:type="dxa" w:w="2551"/>
            <w:shd w:fill="F3F5F6"/>
            <w:vAlign w:val="center"/>
            <w:tcMar>
              <w:top w:w="100" w:type="dxa"/>
              <w:start w:w="100" w:type="dxa"/>
              <w:bottom w:w="100" w:type="dxa"/>
              <w:end w:w="10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Aptos" w:hAnsi="Aptos"/>
                <w:b w:val="0"/>
                <w:color w:val="20262B"/>
                <w:sz w:val="17"/>
              </w:rPr>
              <w:t>09/11 a 29/11</w:t>
            </w:r>
          </w:p>
        </w:tc>
        <w:tc>
          <w:tcPr>
            <w:tcW w:type="dxa" w:w="964"/>
            <w:shd w:fill="F3F5F6"/>
            <w:vAlign w:val="center"/>
            <w:tcMar>
              <w:top w:w="100" w:type="dxa"/>
              <w:start w:w="100" w:type="dxa"/>
              <w:bottom w:w="100" w:type="dxa"/>
              <w:end w:w="10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Aptos" w:hAnsi="Aptos"/>
                <w:b w:val="0"/>
                <w:color w:val="20262B"/>
                <w:sz w:val="17"/>
              </w:rPr>
              <w:t>12 h</w:t>
            </w:r>
          </w:p>
        </w:tc>
        <w:tc>
          <w:tcPr>
            <w:tcW w:type="dxa" w:w="2835"/>
            <w:shd w:fill="F3F5F6"/>
            <w:vAlign w:val="center"/>
            <w:tcMar>
              <w:top w:w="100" w:type="dxa"/>
              <w:start w:w="100" w:type="dxa"/>
              <w:bottom w:w="100" w:type="dxa"/>
              <w:end w:w="10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Aptos" w:hAnsi="Aptos"/>
                <w:b w:val="0"/>
                <w:color w:val="20262B"/>
                <w:sz w:val="17"/>
              </w:rPr>
              <w:t>Comparativo final, evidências e relatório</w:t>
            </w:r>
          </w:p>
        </w:tc>
      </w:tr>
      <w:tr>
        <w:trPr>
          <w:cantSplit/>
        </w:trPr>
        <w:tc>
          <w:tcPr>
            <w:tcW w:type="dxa" w:w="3572"/>
            <w:shd w:fill="E8F3F1"/>
            <w:vAlign w:val="center"/>
            <w:tcMar>
              <w:top w:w="100" w:type="dxa"/>
              <w:start w:w="100" w:type="dxa"/>
              <w:bottom w:w="100" w:type="dxa"/>
              <w:end w:w="10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Aptos" w:hAnsi="Aptos"/>
                <w:b/>
                <w:color w:val="17324D"/>
                <w:sz w:val="17"/>
              </w:rPr>
              <w:t>Total</w:t>
            </w:r>
          </w:p>
        </w:tc>
        <w:tc>
          <w:tcPr>
            <w:tcW w:type="dxa" w:w="2551"/>
            <w:shd w:fill="E8F3F1"/>
            <w:vAlign w:val="center"/>
            <w:tcMar>
              <w:top w:w="100" w:type="dxa"/>
              <w:start w:w="100" w:type="dxa"/>
              <w:bottom w:w="100" w:type="dxa"/>
              <w:end w:w="10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Aptos" w:hAnsi="Aptos"/>
                <w:b/>
                <w:color w:val="17324D"/>
                <w:sz w:val="17"/>
              </w:rPr>
              <w:t>14 semanas</w:t>
            </w:r>
          </w:p>
        </w:tc>
        <w:tc>
          <w:tcPr>
            <w:tcW w:type="dxa" w:w="964"/>
            <w:shd w:fill="E8F3F1"/>
            <w:vAlign w:val="center"/>
            <w:tcMar>
              <w:top w:w="100" w:type="dxa"/>
              <w:start w:w="100" w:type="dxa"/>
              <w:bottom w:w="100" w:type="dxa"/>
              <w:end w:w="10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Aptos" w:hAnsi="Aptos"/>
                <w:b/>
                <w:color w:val="17324D"/>
                <w:sz w:val="17"/>
              </w:rPr>
              <w:t>60 h</w:t>
            </w:r>
          </w:p>
        </w:tc>
        <w:tc>
          <w:tcPr>
            <w:tcW w:type="dxa" w:w="2835"/>
            <w:shd w:fill="E8F3F1"/>
            <w:vAlign w:val="center"/>
            <w:tcMar>
              <w:top w:w="100" w:type="dxa"/>
              <w:start w:w="100" w:type="dxa"/>
              <w:bottom w:w="100" w:type="dxa"/>
              <w:end w:w="10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Aptos" w:hAnsi="Aptos"/>
                <w:b/>
                <w:color w:val="17324D"/>
                <w:sz w:val="17"/>
              </w:rPr>
              <w:t>Margem de 1 h sobre o mínimo de 59 h</w:t>
            </w:r>
          </w:p>
        </w:tc>
      </w:tr>
    </w:tbl>
    <w:p>
      <w:pPr>
        <w:pStyle w:val="Heading1"/>
        <w:keepNext/>
        <w:keepLines/>
      </w:pPr>
      <w:r>
        <w:t>3. Cronograma semanal</w:t>
      </w:r>
    </w:p>
    <w:p>
      <w:pPr>
        <w:pStyle w:val="Heading2"/>
        <w:keepNext/>
        <w:keepLines/>
      </w:pPr>
      <w:r>
        <w:t>Fase 1 – Diagnóstico e fundamentação</w:t>
      </w:r>
    </w:p>
    <w:p>
      <w:pPr>
        <w:keepNext/>
        <w:keepLines/>
        <w:spacing w:after="100"/>
      </w:pPr>
      <w:r>
        <w:rPr>
          <w:rFonts w:ascii="Aptos" w:hAnsi="Aptos"/>
          <w:b/>
          <w:color w:val="246B6B"/>
          <w:sz w:val="19"/>
        </w:rPr>
        <w:t>Período: 24/08/2026 a 13/09/2026  •  Carga da fase: 12 h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6" w:space="0" w:color="D9E1E5"/>
          <w:left w:val="single" w:sz="6" w:space="0" w:color="D9E1E5"/>
          <w:bottom w:val="single" w:sz="6" w:space="0" w:color="D9E1E5"/>
          <w:right w:val="single" w:sz="6" w:space="0" w:color="D9E1E5"/>
          <w:insideH w:val="single" w:sz="6" w:space="0" w:color="D9E1E5"/>
          <w:insideV w:val="single" w:sz="6" w:space="0" w:color="D9E1E5"/>
        </w:tblBorders>
      </w:tblPr>
      <w:tblGrid>
        <w:gridCol w:w="2494"/>
        <w:gridCol w:w="2494"/>
        <w:gridCol w:w="2494"/>
        <w:gridCol w:w="2494"/>
      </w:tblGrid>
      <w:tr>
        <w:trPr>
          <w:trHeight w:val="454" w:hRule="atLeast"/>
          <w:tblHeader w:val="true"/>
          <w:cantSplit/>
        </w:trPr>
        <w:tc>
          <w:tcPr>
            <w:tcW w:type="dxa" w:w="1701"/>
            <w:vAlign w:val="center"/>
            <w:tcMar>
              <w:top w:w="100" w:type="dxa"/>
              <w:start w:w="100" w:type="dxa"/>
              <w:bottom w:w="100" w:type="dxa"/>
              <w:end w:w="100" w:type="dxa"/>
            </w:tcMar>
            <w:shd w:fill="17324D"/>
          </w:tcPr>
          <w:p>
            <w:pPr>
              <w:spacing w:after="0" w:before="0" w:line="240" w:lineRule="auto"/>
              <w:jc w:val="center"/>
            </w:pPr>
            <w:r/>
            <w:r>
              <w:rPr>
                <w:rFonts w:ascii="Aptos" w:hAnsi="Aptos"/>
                <w:b/>
                <w:color w:val="FFFFFF"/>
                <w:sz w:val="17"/>
              </w:rPr>
              <w:t>Semana e período</w:t>
            </w:r>
          </w:p>
        </w:tc>
        <w:tc>
          <w:tcPr>
            <w:tcW w:type="dxa" w:w="4535"/>
            <w:vAlign w:val="center"/>
            <w:tcMar>
              <w:top w:w="100" w:type="dxa"/>
              <w:start w:w="100" w:type="dxa"/>
              <w:bottom w:w="100" w:type="dxa"/>
              <w:end w:w="100" w:type="dxa"/>
            </w:tcMar>
            <w:shd w:fill="17324D"/>
          </w:tcPr>
          <w:p>
            <w:pPr>
              <w:spacing w:after="0" w:before="0" w:line="240" w:lineRule="auto"/>
              <w:jc w:val="left"/>
            </w:pPr>
            <w:r/>
            <w:r>
              <w:rPr>
                <w:rFonts w:ascii="Aptos" w:hAnsi="Aptos"/>
                <w:b/>
                <w:color w:val="FFFFFF"/>
                <w:sz w:val="17"/>
              </w:rPr>
              <w:t>Atividades planejadas</w:t>
            </w:r>
          </w:p>
        </w:tc>
        <w:tc>
          <w:tcPr>
            <w:tcW w:type="dxa" w:w="2835"/>
            <w:vAlign w:val="center"/>
            <w:tcMar>
              <w:top w:w="100" w:type="dxa"/>
              <w:start w:w="100" w:type="dxa"/>
              <w:bottom w:w="100" w:type="dxa"/>
              <w:end w:w="100" w:type="dxa"/>
            </w:tcMar>
            <w:shd w:fill="17324D"/>
          </w:tcPr>
          <w:p>
            <w:pPr>
              <w:spacing w:after="0" w:before="0" w:line="240" w:lineRule="auto"/>
              <w:jc w:val="left"/>
            </w:pPr>
            <w:r/>
            <w:r>
              <w:rPr>
                <w:rFonts w:ascii="Aptos" w:hAnsi="Aptos"/>
                <w:b/>
                <w:color w:val="FFFFFF"/>
                <w:sz w:val="17"/>
              </w:rPr>
              <w:t>Entregável / evidência</w:t>
            </w:r>
          </w:p>
        </w:tc>
        <w:tc>
          <w:tcPr>
            <w:tcW w:type="dxa" w:w="737"/>
            <w:vAlign w:val="center"/>
            <w:tcMar>
              <w:top w:w="100" w:type="dxa"/>
              <w:start w:w="100" w:type="dxa"/>
              <w:bottom w:w="100" w:type="dxa"/>
              <w:end w:w="100" w:type="dxa"/>
            </w:tcMar>
            <w:shd w:fill="17324D"/>
          </w:tcPr>
          <w:p>
            <w:pPr>
              <w:spacing w:after="0" w:before="0" w:line="240" w:lineRule="auto"/>
              <w:jc w:val="center"/>
            </w:pPr>
            <w:r/>
            <w:r>
              <w:rPr>
                <w:rFonts w:ascii="Aptos" w:hAnsi="Aptos"/>
                <w:b/>
                <w:color w:val="FFFFFF"/>
                <w:sz w:val="17"/>
              </w:rPr>
              <w:t>Horas</w:t>
            </w:r>
          </w:p>
        </w:tc>
      </w:tr>
      <w:tr>
        <w:trPr>
          <w:cantSplit/>
          <w:trHeight w:val="709" w:hRule="atLeast"/>
        </w:trPr>
        <w:tc>
          <w:tcPr>
            <w:tcW w:type="dxa" w:w="1701"/>
            <w:shd w:fill="FFFFFF"/>
            <w:vAlign w:val="center"/>
            <w:tcMar>
              <w:top w:w="100" w:type="dxa"/>
              <w:start w:w="100" w:type="dxa"/>
              <w:bottom w:w="100" w:type="dxa"/>
              <w:end w:w="10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Aptos" w:hAnsi="Aptos"/>
                <w:b/>
                <w:color w:val="17324D"/>
                <w:sz w:val="17"/>
              </w:rPr>
              <w:t>Semana 1</w:t>
              <w:br/>
              <w:t>24/08–30/08</w:t>
            </w:r>
          </w:p>
        </w:tc>
        <w:tc>
          <w:tcPr>
            <w:tcW w:type="dxa" w:w="4535"/>
            <w:shd w:fill="FFFFFF"/>
            <w:vAlign w:val="center"/>
            <w:tcMar>
              <w:top w:w="100" w:type="dxa"/>
              <w:start w:w="100" w:type="dxa"/>
              <w:bottom w:w="100" w:type="dxa"/>
              <w:end w:w="10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Aptos" w:hAnsi="Aptos"/>
                <w:b w:val="0"/>
                <w:color w:val="20262B"/>
                <w:sz w:val="17"/>
              </w:rPr>
              <w:t>Alinhar a continuidade do LendoJuntos como intervenção; delimitar público, barreiras e impacto social; estudar acessibilidade digital e WCAG 2.2 A/AA.</w:t>
            </w:r>
          </w:p>
        </w:tc>
        <w:tc>
          <w:tcPr>
            <w:tcW w:type="dxa" w:w="2835"/>
            <w:shd w:fill="FFFFFF"/>
            <w:vAlign w:val="center"/>
            <w:tcMar>
              <w:top w:w="100" w:type="dxa"/>
              <w:start w:w="100" w:type="dxa"/>
              <w:bottom w:w="100" w:type="dxa"/>
              <w:end w:w="10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Aptos" w:hAnsi="Aptos"/>
                <w:b w:val="0"/>
                <w:color w:val="20262B"/>
                <w:sz w:val="17"/>
              </w:rPr>
              <w:t>Termo de escopo, fichamento e matriz WCAG v1.</w:t>
            </w:r>
          </w:p>
        </w:tc>
        <w:tc>
          <w:tcPr>
            <w:tcW w:type="dxa" w:w="737"/>
            <w:shd w:fill="FFFFFF"/>
            <w:vAlign w:val="center"/>
            <w:tcMar>
              <w:top w:w="100" w:type="dxa"/>
              <w:start w:w="100" w:type="dxa"/>
              <w:bottom w:w="100" w:type="dxa"/>
              <w:end w:w="10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Aptos" w:hAnsi="Aptos"/>
                <w:b/>
                <w:color w:val="246B6B"/>
                <w:sz w:val="18"/>
              </w:rPr>
              <w:t>4 h</w:t>
            </w:r>
          </w:p>
        </w:tc>
      </w:tr>
      <w:tr>
        <w:trPr>
          <w:cantSplit/>
          <w:trHeight w:val="709" w:hRule="atLeast"/>
        </w:trPr>
        <w:tc>
          <w:tcPr>
            <w:tcW w:type="dxa" w:w="1701"/>
            <w:shd w:fill="F3F5F6"/>
            <w:vAlign w:val="center"/>
            <w:tcMar>
              <w:top w:w="100" w:type="dxa"/>
              <w:start w:w="100" w:type="dxa"/>
              <w:bottom w:w="100" w:type="dxa"/>
              <w:end w:w="10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Aptos" w:hAnsi="Aptos"/>
                <w:b/>
                <w:color w:val="17324D"/>
                <w:sz w:val="17"/>
              </w:rPr>
              <w:t>Semana 2</w:t>
              <w:br/>
              <w:t>31/08–06/09</w:t>
            </w:r>
          </w:p>
        </w:tc>
        <w:tc>
          <w:tcPr>
            <w:tcW w:type="dxa" w:w="4535"/>
            <w:shd w:fill="F3F5F6"/>
            <w:vAlign w:val="center"/>
            <w:tcMar>
              <w:top w:w="100" w:type="dxa"/>
              <w:start w:w="100" w:type="dxa"/>
              <w:bottom w:w="100" w:type="dxa"/>
              <w:end w:w="10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Aptos" w:hAnsi="Aptos"/>
                <w:b w:val="0"/>
                <w:color w:val="20262B"/>
                <w:sz w:val="17"/>
              </w:rPr>
              <w:t>Estudar eMAG e tecnologias assistivas; experimentar teclado, NVDA, zoom e alto contraste; inventariar telas e fluxos críticos.</w:t>
            </w:r>
          </w:p>
        </w:tc>
        <w:tc>
          <w:tcPr>
            <w:tcW w:type="dxa" w:w="2835"/>
            <w:shd w:fill="F3F5F6"/>
            <w:vAlign w:val="center"/>
            <w:tcMar>
              <w:top w:w="100" w:type="dxa"/>
              <w:start w:w="100" w:type="dxa"/>
              <w:bottom w:w="100" w:type="dxa"/>
              <w:end w:w="10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Aptos" w:hAnsi="Aptos"/>
                <w:b w:val="0"/>
                <w:color w:val="20262B"/>
                <w:sz w:val="17"/>
              </w:rPr>
              <w:t>Checklist, notas dos recursos assistivos e inventário.</w:t>
            </w:r>
          </w:p>
        </w:tc>
        <w:tc>
          <w:tcPr>
            <w:tcW w:type="dxa" w:w="737"/>
            <w:shd w:fill="F3F5F6"/>
            <w:vAlign w:val="center"/>
            <w:tcMar>
              <w:top w:w="100" w:type="dxa"/>
              <w:start w:w="100" w:type="dxa"/>
              <w:bottom w:w="100" w:type="dxa"/>
              <w:end w:w="10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Aptos" w:hAnsi="Aptos"/>
                <w:b/>
                <w:color w:val="246B6B"/>
                <w:sz w:val="18"/>
              </w:rPr>
              <w:t>4 h</w:t>
            </w:r>
          </w:p>
        </w:tc>
      </w:tr>
      <w:tr>
        <w:trPr>
          <w:cantSplit/>
          <w:trHeight w:val="709" w:hRule="atLeast"/>
        </w:trPr>
        <w:tc>
          <w:tcPr>
            <w:tcW w:type="dxa" w:w="1701"/>
            <w:shd w:fill="FFFFFF"/>
            <w:vAlign w:val="center"/>
            <w:tcMar>
              <w:top w:w="100" w:type="dxa"/>
              <w:start w:w="100" w:type="dxa"/>
              <w:bottom w:w="100" w:type="dxa"/>
              <w:end w:w="10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Aptos" w:hAnsi="Aptos"/>
                <w:b/>
                <w:color w:val="17324D"/>
                <w:sz w:val="17"/>
              </w:rPr>
              <w:t>Semana 3</w:t>
              <w:br/>
              <w:t>07/09–13/09</w:t>
            </w:r>
          </w:p>
        </w:tc>
        <w:tc>
          <w:tcPr>
            <w:tcW w:type="dxa" w:w="4535"/>
            <w:shd w:fill="FFFFFF"/>
            <w:vAlign w:val="center"/>
            <w:tcMar>
              <w:top w:w="100" w:type="dxa"/>
              <w:start w:w="100" w:type="dxa"/>
              <w:bottom w:w="100" w:type="dxa"/>
              <w:end w:w="10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Aptos" w:hAnsi="Aptos"/>
                <w:b w:val="0"/>
                <w:color w:val="20262B"/>
                <w:sz w:val="17"/>
              </w:rPr>
              <w:t>Auditar a linha de base e validar com o orientador o escopo, os critérios e o backlog priorizado de acessibilidade.</w:t>
            </w:r>
          </w:p>
        </w:tc>
        <w:tc>
          <w:tcPr>
            <w:tcW w:type="dxa" w:w="2835"/>
            <w:shd w:fill="FFFFFF"/>
            <w:vAlign w:val="center"/>
            <w:tcMar>
              <w:top w:w="100" w:type="dxa"/>
              <w:start w:w="100" w:type="dxa"/>
              <w:bottom w:w="100" w:type="dxa"/>
              <w:end w:w="10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Aptos" w:hAnsi="Aptos"/>
                <w:b w:val="0"/>
                <w:color w:val="20262B"/>
                <w:sz w:val="17"/>
              </w:rPr>
              <w:t>Relatório inicial, backlog e registro de orientação.</w:t>
            </w:r>
          </w:p>
        </w:tc>
        <w:tc>
          <w:tcPr>
            <w:tcW w:type="dxa" w:w="737"/>
            <w:shd w:fill="FFFFFF"/>
            <w:vAlign w:val="center"/>
            <w:tcMar>
              <w:top w:w="100" w:type="dxa"/>
              <w:start w:w="100" w:type="dxa"/>
              <w:bottom w:w="100" w:type="dxa"/>
              <w:end w:w="10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Aptos" w:hAnsi="Aptos"/>
                <w:b/>
                <w:color w:val="246B6B"/>
                <w:sz w:val="18"/>
              </w:rPr>
              <w:t>4 h</w:t>
            </w:r>
          </w:p>
        </w:tc>
      </w:tr>
    </w:tbl>
    <w:p>
      <w:pPr>
        <w:spacing w:after="0"/>
      </w:pPr>
    </w:p>
    <w:p>
      <w:pPr>
        <w:pStyle w:val="Heading2"/>
        <w:keepNext/>
        <w:keepLines/>
      </w:pPr>
      <w:r>
        <w:t>Fase 2 – Desenho acessível e metodologia</w:t>
      </w:r>
    </w:p>
    <w:p>
      <w:pPr>
        <w:keepNext/>
        <w:keepLines/>
        <w:spacing w:after="100"/>
      </w:pPr>
      <w:r>
        <w:rPr>
          <w:rFonts w:ascii="Aptos" w:hAnsi="Aptos"/>
          <w:b/>
          <w:color w:val="246B6B"/>
          <w:sz w:val="19"/>
        </w:rPr>
        <w:t>Período: 14/09/2026 a 04/10/2026  •  Carga da fase: 12 h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6" w:space="0" w:color="D9E1E5"/>
          <w:left w:val="single" w:sz="6" w:space="0" w:color="D9E1E5"/>
          <w:bottom w:val="single" w:sz="6" w:space="0" w:color="D9E1E5"/>
          <w:right w:val="single" w:sz="6" w:space="0" w:color="D9E1E5"/>
          <w:insideH w:val="single" w:sz="6" w:space="0" w:color="D9E1E5"/>
          <w:insideV w:val="single" w:sz="6" w:space="0" w:color="D9E1E5"/>
        </w:tblBorders>
      </w:tblPr>
      <w:tblGrid>
        <w:gridCol w:w="2494"/>
        <w:gridCol w:w="2494"/>
        <w:gridCol w:w="2494"/>
        <w:gridCol w:w="2494"/>
      </w:tblGrid>
      <w:tr>
        <w:trPr>
          <w:trHeight w:val="454" w:hRule="atLeast"/>
          <w:tblHeader w:val="true"/>
          <w:cantSplit/>
        </w:trPr>
        <w:tc>
          <w:tcPr>
            <w:tcW w:type="dxa" w:w="1701"/>
            <w:vAlign w:val="center"/>
            <w:tcMar>
              <w:top w:w="100" w:type="dxa"/>
              <w:start w:w="100" w:type="dxa"/>
              <w:bottom w:w="100" w:type="dxa"/>
              <w:end w:w="100" w:type="dxa"/>
            </w:tcMar>
            <w:shd w:fill="17324D"/>
          </w:tcPr>
          <w:p>
            <w:pPr>
              <w:spacing w:after="0" w:before="0" w:line="240" w:lineRule="auto"/>
              <w:jc w:val="center"/>
            </w:pPr>
            <w:r/>
            <w:r>
              <w:rPr>
                <w:rFonts w:ascii="Aptos" w:hAnsi="Aptos"/>
                <w:b/>
                <w:color w:val="FFFFFF"/>
                <w:sz w:val="17"/>
              </w:rPr>
              <w:t>Semana e período</w:t>
            </w:r>
          </w:p>
        </w:tc>
        <w:tc>
          <w:tcPr>
            <w:tcW w:type="dxa" w:w="4535"/>
            <w:vAlign w:val="center"/>
            <w:tcMar>
              <w:top w:w="100" w:type="dxa"/>
              <w:start w:w="100" w:type="dxa"/>
              <w:bottom w:w="100" w:type="dxa"/>
              <w:end w:w="100" w:type="dxa"/>
            </w:tcMar>
            <w:shd w:fill="17324D"/>
          </w:tcPr>
          <w:p>
            <w:pPr>
              <w:spacing w:after="0" w:before="0" w:line="240" w:lineRule="auto"/>
              <w:jc w:val="left"/>
            </w:pPr>
            <w:r/>
            <w:r>
              <w:rPr>
                <w:rFonts w:ascii="Aptos" w:hAnsi="Aptos"/>
                <w:b/>
                <w:color w:val="FFFFFF"/>
                <w:sz w:val="17"/>
              </w:rPr>
              <w:t>Atividades planejadas</w:t>
            </w:r>
          </w:p>
        </w:tc>
        <w:tc>
          <w:tcPr>
            <w:tcW w:type="dxa" w:w="2835"/>
            <w:vAlign w:val="center"/>
            <w:tcMar>
              <w:top w:w="100" w:type="dxa"/>
              <w:start w:w="100" w:type="dxa"/>
              <w:bottom w:w="100" w:type="dxa"/>
              <w:end w:w="100" w:type="dxa"/>
            </w:tcMar>
            <w:shd w:fill="17324D"/>
          </w:tcPr>
          <w:p>
            <w:pPr>
              <w:spacing w:after="0" w:before="0" w:line="240" w:lineRule="auto"/>
              <w:jc w:val="left"/>
            </w:pPr>
            <w:r/>
            <w:r>
              <w:rPr>
                <w:rFonts w:ascii="Aptos" w:hAnsi="Aptos"/>
                <w:b/>
                <w:color w:val="FFFFFF"/>
                <w:sz w:val="17"/>
              </w:rPr>
              <w:t>Entregável / evidência</w:t>
            </w:r>
          </w:p>
        </w:tc>
        <w:tc>
          <w:tcPr>
            <w:tcW w:type="dxa" w:w="737"/>
            <w:vAlign w:val="center"/>
            <w:tcMar>
              <w:top w:w="100" w:type="dxa"/>
              <w:start w:w="100" w:type="dxa"/>
              <w:bottom w:w="100" w:type="dxa"/>
              <w:end w:w="100" w:type="dxa"/>
            </w:tcMar>
            <w:shd w:fill="17324D"/>
          </w:tcPr>
          <w:p>
            <w:pPr>
              <w:spacing w:after="0" w:before="0" w:line="240" w:lineRule="auto"/>
              <w:jc w:val="center"/>
            </w:pPr>
            <w:r/>
            <w:r>
              <w:rPr>
                <w:rFonts w:ascii="Aptos" w:hAnsi="Aptos"/>
                <w:b/>
                <w:color w:val="FFFFFF"/>
                <w:sz w:val="17"/>
              </w:rPr>
              <w:t>Horas</w:t>
            </w:r>
          </w:p>
        </w:tc>
      </w:tr>
      <w:tr>
        <w:trPr>
          <w:cantSplit/>
          <w:trHeight w:val="709" w:hRule="atLeast"/>
        </w:trPr>
        <w:tc>
          <w:tcPr>
            <w:tcW w:type="dxa" w:w="1701"/>
            <w:shd w:fill="FFFFFF"/>
            <w:vAlign w:val="center"/>
            <w:tcMar>
              <w:top w:w="100" w:type="dxa"/>
              <w:start w:w="100" w:type="dxa"/>
              <w:bottom w:w="100" w:type="dxa"/>
              <w:end w:w="10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Aptos" w:hAnsi="Aptos"/>
                <w:b/>
                <w:color w:val="17324D"/>
                <w:sz w:val="17"/>
              </w:rPr>
              <w:t>Semana 4</w:t>
              <w:br/>
              <w:t>14/09–20/09</w:t>
            </w:r>
          </w:p>
        </w:tc>
        <w:tc>
          <w:tcPr>
            <w:tcW w:type="dxa" w:w="4535"/>
            <w:shd w:fill="FFFFFF"/>
            <w:vAlign w:val="center"/>
            <w:tcMar>
              <w:top w:w="100" w:type="dxa"/>
              <w:start w:w="100" w:type="dxa"/>
              <w:bottom w:w="100" w:type="dxa"/>
              <w:end w:w="10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Aptos" w:hAnsi="Aptos"/>
                <w:b w:val="0"/>
                <w:color w:val="20262B"/>
                <w:sz w:val="17"/>
              </w:rPr>
              <w:t>Selecionar padrões e ferramentas; definir fluxos de teste, severidade, critérios de aceite e ciclo diagnosticar–corrigir–retestar.</w:t>
            </w:r>
          </w:p>
        </w:tc>
        <w:tc>
          <w:tcPr>
            <w:tcW w:type="dxa" w:w="2835"/>
            <w:shd w:fill="FFFFFF"/>
            <w:vAlign w:val="center"/>
            <w:tcMar>
              <w:top w:w="100" w:type="dxa"/>
              <w:start w:w="100" w:type="dxa"/>
              <w:bottom w:w="100" w:type="dxa"/>
              <w:end w:w="10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Aptos" w:hAnsi="Aptos"/>
                <w:b w:val="0"/>
                <w:color w:val="20262B"/>
                <w:sz w:val="17"/>
              </w:rPr>
              <w:t>Plano técnico, metodologia e matriz de ferramentas.</w:t>
            </w:r>
          </w:p>
        </w:tc>
        <w:tc>
          <w:tcPr>
            <w:tcW w:type="dxa" w:w="737"/>
            <w:shd w:fill="FFFFFF"/>
            <w:vAlign w:val="center"/>
            <w:tcMar>
              <w:top w:w="100" w:type="dxa"/>
              <w:start w:w="100" w:type="dxa"/>
              <w:bottom w:w="100" w:type="dxa"/>
              <w:end w:w="10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Aptos" w:hAnsi="Aptos"/>
                <w:b/>
                <w:color w:val="246B6B"/>
                <w:sz w:val="18"/>
              </w:rPr>
              <w:t>4 h</w:t>
            </w:r>
          </w:p>
        </w:tc>
      </w:tr>
      <w:tr>
        <w:trPr>
          <w:cantSplit/>
          <w:trHeight w:val="709" w:hRule="atLeast"/>
        </w:trPr>
        <w:tc>
          <w:tcPr>
            <w:tcW w:type="dxa" w:w="1701"/>
            <w:shd w:fill="F3F5F6"/>
            <w:vAlign w:val="center"/>
            <w:tcMar>
              <w:top w:w="100" w:type="dxa"/>
              <w:start w:w="100" w:type="dxa"/>
              <w:bottom w:w="100" w:type="dxa"/>
              <w:end w:w="10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Aptos" w:hAnsi="Aptos"/>
                <w:b/>
                <w:color w:val="17324D"/>
                <w:sz w:val="17"/>
              </w:rPr>
              <w:t>Semana 5</w:t>
              <w:br/>
              <w:t>21/09–27/09</w:t>
            </w:r>
          </w:p>
        </w:tc>
        <w:tc>
          <w:tcPr>
            <w:tcW w:type="dxa" w:w="4535"/>
            <w:shd w:fill="F3F5F6"/>
            <w:vAlign w:val="center"/>
            <w:tcMar>
              <w:top w:w="100" w:type="dxa"/>
              <w:start w:w="100" w:type="dxa"/>
              <w:bottom w:w="100" w:type="dxa"/>
              <w:end w:w="10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Aptos" w:hAnsi="Aptos"/>
                <w:b w:val="0"/>
                <w:color w:val="20262B"/>
                <w:sz w:val="17"/>
              </w:rPr>
              <w:t>Criar wireframes de baixa fidelidade para landmarks, link para conteúdo, títulos, ordem de foco, formulários, modais e cartões.</w:t>
            </w:r>
          </w:p>
        </w:tc>
        <w:tc>
          <w:tcPr>
            <w:tcW w:type="dxa" w:w="2835"/>
            <w:shd w:fill="F3F5F6"/>
            <w:vAlign w:val="center"/>
            <w:tcMar>
              <w:top w:w="100" w:type="dxa"/>
              <w:start w:w="100" w:type="dxa"/>
              <w:bottom w:w="100" w:type="dxa"/>
              <w:end w:w="10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Aptos" w:hAnsi="Aptos"/>
                <w:b w:val="0"/>
                <w:color w:val="20262B"/>
                <w:sz w:val="17"/>
              </w:rPr>
              <w:t>Wireframe acessível e fluxos anotados.</w:t>
            </w:r>
          </w:p>
        </w:tc>
        <w:tc>
          <w:tcPr>
            <w:tcW w:type="dxa" w:w="737"/>
            <w:shd w:fill="F3F5F6"/>
            <w:vAlign w:val="center"/>
            <w:tcMar>
              <w:top w:w="100" w:type="dxa"/>
              <w:start w:w="100" w:type="dxa"/>
              <w:bottom w:w="100" w:type="dxa"/>
              <w:end w:w="10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Aptos" w:hAnsi="Aptos"/>
                <w:b/>
                <w:color w:val="246B6B"/>
                <w:sz w:val="18"/>
              </w:rPr>
              <w:t>4 h</w:t>
            </w:r>
          </w:p>
        </w:tc>
      </w:tr>
      <w:tr>
        <w:trPr>
          <w:cantSplit/>
          <w:trHeight w:val="709" w:hRule="atLeast"/>
        </w:trPr>
        <w:tc>
          <w:tcPr>
            <w:tcW w:type="dxa" w:w="1701"/>
            <w:shd w:fill="FFFFFF"/>
            <w:vAlign w:val="center"/>
            <w:tcMar>
              <w:top w:w="100" w:type="dxa"/>
              <w:start w:w="100" w:type="dxa"/>
              <w:bottom w:w="100" w:type="dxa"/>
              <w:end w:w="10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Aptos" w:hAnsi="Aptos"/>
                <w:b/>
                <w:color w:val="17324D"/>
                <w:sz w:val="17"/>
              </w:rPr>
              <w:t>Semana 6</w:t>
              <w:br/>
              <w:t>28/09–04/10</w:t>
            </w:r>
          </w:p>
        </w:tc>
        <w:tc>
          <w:tcPr>
            <w:tcW w:type="dxa" w:w="4535"/>
            <w:shd w:fill="FFFFFF"/>
            <w:vAlign w:val="center"/>
            <w:tcMar>
              <w:top w:w="100" w:type="dxa"/>
              <w:start w:w="100" w:type="dxa"/>
              <w:bottom w:w="100" w:type="dxa"/>
              <w:end w:w="10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Aptos" w:hAnsi="Aptos"/>
                <w:b w:val="0"/>
                <w:color w:val="20262B"/>
                <w:sz w:val="17"/>
              </w:rPr>
              <w:t>Concluir protótipo de alta fidelidade com contraste, foco visível, tipografia, zoom/reflow e estados que não dependam apenas de cor.</w:t>
            </w:r>
          </w:p>
        </w:tc>
        <w:tc>
          <w:tcPr>
            <w:tcW w:type="dxa" w:w="2835"/>
            <w:shd w:fill="FFFFFF"/>
            <w:vAlign w:val="center"/>
            <w:tcMar>
              <w:top w:w="100" w:type="dxa"/>
              <w:start w:w="100" w:type="dxa"/>
              <w:bottom w:w="100" w:type="dxa"/>
              <w:end w:w="10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Aptos" w:hAnsi="Aptos"/>
                <w:b w:val="0"/>
                <w:color w:val="20262B"/>
                <w:sz w:val="17"/>
              </w:rPr>
              <w:t>Protótipo acessível, guia visual e especificações.</w:t>
            </w:r>
          </w:p>
        </w:tc>
        <w:tc>
          <w:tcPr>
            <w:tcW w:type="dxa" w:w="737"/>
            <w:shd w:fill="FFFFFF"/>
            <w:vAlign w:val="center"/>
            <w:tcMar>
              <w:top w:w="100" w:type="dxa"/>
              <w:start w:w="100" w:type="dxa"/>
              <w:bottom w:w="100" w:type="dxa"/>
              <w:end w:w="10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Aptos" w:hAnsi="Aptos"/>
                <w:b/>
                <w:color w:val="246B6B"/>
                <w:sz w:val="18"/>
              </w:rPr>
              <w:t>4 h</w:t>
            </w:r>
          </w:p>
        </w:tc>
      </w:tr>
    </w:tbl>
    <w:p>
      <w:pPr>
        <w:spacing w:after="0"/>
      </w:pPr>
    </w:p>
    <w:p>
      <w:pPr>
        <w:pStyle w:val="Heading2"/>
        <w:keepNext/>
        <w:keepLines/>
      </w:pPr>
      <w:r>
        <w:t>Fase 3 – Implementação da intervenção</w:t>
      </w:r>
    </w:p>
    <w:p>
      <w:pPr>
        <w:keepNext/>
        <w:keepLines/>
        <w:spacing w:after="100"/>
      </w:pPr>
      <w:r>
        <w:rPr>
          <w:rFonts w:ascii="Aptos" w:hAnsi="Aptos"/>
          <w:b/>
          <w:color w:val="246B6B"/>
          <w:sz w:val="19"/>
        </w:rPr>
        <w:t>Período: 05/10/2026 a 08/11/2026  •  Carga da fase: 24 h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6" w:space="0" w:color="D9E1E5"/>
          <w:left w:val="single" w:sz="6" w:space="0" w:color="D9E1E5"/>
          <w:bottom w:val="single" w:sz="6" w:space="0" w:color="D9E1E5"/>
          <w:right w:val="single" w:sz="6" w:space="0" w:color="D9E1E5"/>
          <w:insideH w:val="single" w:sz="6" w:space="0" w:color="D9E1E5"/>
          <w:insideV w:val="single" w:sz="6" w:space="0" w:color="D9E1E5"/>
        </w:tblBorders>
      </w:tblPr>
      <w:tblGrid>
        <w:gridCol w:w="2494"/>
        <w:gridCol w:w="2494"/>
        <w:gridCol w:w="2494"/>
        <w:gridCol w:w="2494"/>
      </w:tblGrid>
      <w:tr>
        <w:trPr>
          <w:trHeight w:val="454" w:hRule="atLeast"/>
          <w:tblHeader w:val="true"/>
          <w:cantSplit/>
        </w:trPr>
        <w:tc>
          <w:tcPr>
            <w:tcW w:type="dxa" w:w="1701"/>
            <w:vAlign w:val="center"/>
            <w:tcMar>
              <w:top w:w="100" w:type="dxa"/>
              <w:start w:w="100" w:type="dxa"/>
              <w:bottom w:w="100" w:type="dxa"/>
              <w:end w:w="100" w:type="dxa"/>
            </w:tcMar>
            <w:shd w:fill="17324D"/>
          </w:tcPr>
          <w:p>
            <w:pPr>
              <w:spacing w:after="0" w:before="0" w:line="240" w:lineRule="auto"/>
              <w:jc w:val="center"/>
            </w:pPr>
            <w:r/>
            <w:r>
              <w:rPr>
                <w:rFonts w:ascii="Aptos" w:hAnsi="Aptos"/>
                <w:b/>
                <w:color w:val="FFFFFF"/>
                <w:sz w:val="17"/>
              </w:rPr>
              <w:t>Semana e período</w:t>
            </w:r>
          </w:p>
        </w:tc>
        <w:tc>
          <w:tcPr>
            <w:tcW w:type="dxa" w:w="4535"/>
            <w:vAlign w:val="center"/>
            <w:tcMar>
              <w:top w:w="100" w:type="dxa"/>
              <w:start w:w="100" w:type="dxa"/>
              <w:bottom w:w="100" w:type="dxa"/>
              <w:end w:w="100" w:type="dxa"/>
            </w:tcMar>
            <w:shd w:fill="17324D"/>
          </w:tcPr>
          <w:p>
            <w:pPr>
              <w:spacing w:after="0" w:before="0" w:line="240" w:lineRule="auto"/>
              <w:jc w:val="left"/>
            </w:pPr>
            <w:r/>
            <w:r>
              <w:rPr>
                <w:rFonts w:ascii="Aptos" w:hAnsi="Aptos"/>
                <w:b/>
                <w:color w:val="FFFFFF"/>
                <w:sz w:val="17"/>
              </w:rPr>
              <w:t>Atividades planejadas</w:t>
            </w:r>
          </w:p>
        </w:tc>
        <w:tc>
          <w:tcPr>
            <w:tcW w:type="dxa" w:w="2835"/>
            <w:vAlign w:val="center"/>
            <w:tcMar>
              <w:top w:w="100" w:type="dxa"/>
              <w:start w:w="100" w:type="dxa"/>
              <w:bottom w:w="100" w:type="dxa"/>
              <w:end w:w="100" w:type="dxa"/>
            </w:tcMar>
            <w:shd w:fill="17324D"/>
          </w:tcPr>
          <w:p>
            <w:pPr>
              <w:spacing w:after="0" w:before="0" w:line="240" w:lineRule="auto"/>
              <w:jc w:val="left"/>
            </w:pPr>
            <w:r/>
            <w:r>
              <w:rPr>
                <w:rFonts w:ascii="Aptos" w:hAnsi="Aptos"/>
                <w:b/>
                <w:color w:val="FFFFFF"/>
                <w:sz w:val="17"/>
              </w:rPr>
              <w:t>Entregável / evidência</w:t>
            </w:r>
          </w:p>
        </w:tc>
        <w:tc>
          <w:tcPr>
            <w:tcW w:type="dxa" w:w="737"/>
            <w:vAlign w:val="center"/>
            <w:tcMar>
              <w:top w:w="100" w:type="dxa"/>
              <w:start w:w="100" w:type="dxa"/>
              <w:bottom w:w="100" w:type="dxa"/>
              <w:end w:w="100" w:type="dxa"/>
            </w:tcMar>
            <w:shd w:fill="17324D"/>
          </w:tcPr>
          <w:p>
            <w:pPr>
              <w:spacing w:after="0" w:before="0" w:line="240" w:lineRule="auto"/>
              <w:jc w:val="center"/>
            </w:pPr>
            <w:r/>
            <w:r>
              <w:rPr>
                <w:rFonts w:ascii="Aptos" w:hAnsi="Aptos"/>
                <w:b/>
                <w:color w:val="FFFFFF"/>
                <w:sz w:val="17"/>
              </w:rPr>
              <w:t>Horas</w:t>
            </w:r>
          </w:p>
        </w:tc>
      </w:tr>
      <w:tr>
        <w:trPr>
          <w:cantSplit/>
          <w:trHeight w:val="709" w:hRule="atLeast"/>
        </w:trPr>
        <w:tc>
          <w:tcPr>
            <w:tcW w:type="dxa" w:w="1701"/>
            <w:shd w:fill="FFFFFF"/>
            <w:vAlign w:val="center"/>
            <w:tcMar>
              <w:top w:w="100" w:type="dxa"/>
              <w:start w:w="100" w:type="dxa"/>
              <w:bottom w:w="100" w:type="dxa"/>
              <w:end w:w="10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Aptos" w:hAnsi="Aptos"/>
                <w:b/>
                <w:color w:val="17324D"/>
                <w:sz w:val="17"/>
              </w:rPr>
              <w:t>Semana 7</w:t>
              <w:br/>
              <w:t>05/10–11/10</w:t>
            </w:r>
          </w:p>
        </w:tc>
        <w:tc>
          <w:tcPr>
            <w:tcW w:type="dxa" w:w="4535"/>
            <w:shd w:fill="FFFFFF"/>
            <w:vAlign w:val="center"/>
            <w:tcMar>
              <w:top w:w="100" w:type="dxa"/>
              <w:start w:w="100" w:type="dxa"/>
              <w:bottom w:w="100" w:type="dxa"/>
              <w:end w:w="10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Aptos" w:hAnsi="Aptos"/>
                <w:b w:val="0"/>
                <w:color w:val="20262B"/>
                <w:sz w:val="17"/>
              </w:rPr>
              <w:t>Revisar prioridades com o orientador e implementar fundações globais: landmarks, link para conteúdo, foco visível, contraste e preferência de movimento.</w:t>
            </w:r>
          </w:p>
        </w:tc>
        <w:tc>
          <w:tcPr>
            <w:tcW w:type="dxa" w:w="2835"/>
            <w:shd w:fill="FFFFFF"/>
            <w:vAlign w:val="center"/>
            <w:tcMar>
              <w:top w:w="100" w:type="dxa"/>
              <w:start w:w="100" w:type="dxa"/>
              <w:bottom w:w="100" w:type="dxa"/>
              <w:end w:w="10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Aptos" w:hAnsi="Aptos"/>
                <w:b w:val="0"/>
                <w:color w:val="20262B"/>
                <w:sz w:val="17"/>
              </w:rPr>
              <w:t>Registro de orientação, commits e comparativo visual.</w:t>
            </w:r>
          </w:p>
        </w:tc>
        <w:tc>
          <w:tcPr>
            <w:tcW w:type="dxa" w:w="737"/>
            <w:shd w:fill="FFFFFF"/>
            <w:vAlign w:val="center"/>
            <w:tcMar>
              <w:top w:w="100" w:type="dxa"/>
              <w:start w:w="100" w:type="dxa"/>
              <w:bottom w:w="100" w:type="dxa"/>
              <w:end w:w="10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Aptos" w:hAnsi="Aptos"/>
                <w:b/>
                <w:color w:val="246B6B"/>
                <w:sz w:val="18"/>
              </w:rPr>
              <w:t>5 h</w:t>
            </w:r>
          </w:p>
        </w:tc>
      </w:tr>
      <w:tr>
        <w:trPr>
          <w:cantSplit/>
          <w:trHeight w:val="709" w:hRule="atLeast"/>
        </w:trPr>
        <w:tc>
          <w:tcPr>
            <w:tcW w:type="dxa" w:w="1701"/>
            <w:shd w:fill="F3F5F6"/>
            <w:vAlign w:val="center"/>
            <w:tcMar>
              <w:top w:w="100" w:type="dxa"/>
              <w:start w:w="100" w:type="dxa"/>
              <w:bottom w:w="100" w:type="dxa"/>
              <w:end w:w="10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Aptos" w:hAnsi="Aptos"/>
                <w:b/>
                <w:color w:val="17324D"/>
                <w:sz w:val="17"/>
              </w:rPr>
              <w:t>Semana 8</w:t>
              <w:br/>
              <w:t>12/10–18/10</w:t>
            </w:r>
          </w:p>
        </w:tc>
        <w:tc>
          <w:tcPr>
            <w:tcW w:type="dxa" w:w="4535"/>
            <w:shd w:fill="F3F5F6"/>
            <w:vAlign w:val="center"/>
            <w:tcMar>
              <w:top w:w="100" w:type="dxa"/>
              <w:start w:w="100" w:type="dxa"/>
              <w:bottom w:w="100" w:type="dxa"/>
              <w:end w:w="10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Aptos" w:hAnsi="Aptos"/>
                <w:b w:val="0"/>
                <w:color w:val="20262B"/>
                <w:sz w:val="17"/>
              </w:rPr>
              <w:t>Adequar modal e menu de ações: nome acessível, foco inicial, contenção e retorno de foco, teclado e tecla Escape.</w:t>
            </w:r>
          </w:p>
        </w:tc>
        <w:tc>
          <w:tcPr>
            <w:tcW w:type="dxa" w:w="2835"/>
            <w:shd w:fill="F3F5F6"/>
            <w:vAlign w:val="center"/>
            <w:tcMar>
              <w:top w:w="100" w:type="dxa"/>
              <w:start w:w="100" w:type="dxa"/>
              <w:bottom w:w="100" w:type="dxa"/>
              <w:end w:w="10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Aptos" w:hAnsi="Aptos"/>
                <w:b w:val="0"/>
                <w:color w:val="20262B"/>
                <w:sz w:val="17"/>
              </w:rPr>
              <w:t>Commits e roteiro de teste de teclado.</w:t>
            </w:r>
          </w:p>
        </w:tc>
        <w:tc>
          <w:tcPr>
            <w:tcW w:type="dxa" w:w="737"/>
            <w:shd w:fill="F3F5F6"/>
            <w:vAlign w:val="center"/>
            <w:tcMar>
              <w:top w:w="100" w:type="dxa"/>
              <w:start w:w="100" w:type="dxa"/>
              <w:bottom w:w="100" w:type="dxa"/>
              <w:end w:w="10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Aptos" w:hAnsi="Aptos"/>
                <w:b/>
                <w:color w:val="246B6B"/>
                <w:sz w:val="18"/>
              </w:rPr>
              <w:t>5 h</w:t>
            </w:r>
          </w:p>
        </w:tc>
      </w:tr>
      <w:tr>
        <w:trPr>
          <w:cantSplit/>
          <w:trHeight w:val="709" w:hRule="atLeast"/>
        </w:trPr>
        <w:tc>
          <w:tcPr>
            <w:tcW w:type="dxa" w:w="1701"/>
            <w:shd w:fill="FFFFFF"/>
            <w:vAlign w:val="center"/>
            <w:tcMar>
              <w:top w:w="100" w:type="dxa"/>
              <w:start w:w="100" w:type="dxa"/>
              <w:bottom w:w="100" w:type="dxa"/>
              <w:end w:w="10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Aptos" w:hAnsi="Aptos"/>
                <w:b/>
                <w:color w:val="17324D"/>
                <w:sz w:val="17"/>
              </w:rPr>
              <w:t>Semana 9</w:t>
              <w:br/>
              <w:t>19/10–25/10</w:t>
            </w:r>
          </w:p>
        </w:tc>
        <w:tc>
          <w:tcPr>
            <w:tcW w:type="dxa" w:w="4535"/>
            <w:shd w:fill="FFFFFF"/>
            <w:vAlign w:val="center"/>
            <w:tcMar>
              <w:top w:w="100" w:type="dxa"/>
              <w:start w:w="100" w:type="dxa"/>
              <w:bottom w:w="100" w:type="dxa"/>
              <w:end w:w="10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Aptos" w:hAnsi="Aptos"/>
                <w:b w:val="0"/>
                <w:color w:val="20262B"/>
                <w:sz w:val="17"/>
              </w:rPr>
              <w:t>Adequar login, cadastro e perfil: rótulos, instruções, autocomplete, erros associados aos campos e anúncios de status.</w:t>
            </w:r>
          </w:p>
        </w:tc>
        <w:tc>
          <w:tcPr>
            <w:tcW w:type="dxa" w:w="2835"/>
            <w:shd w:fill="FFFFFF"/>
            <w:vAlign w:val="center"/>
            <w:tcMar>
              <w:top w:w="100" w:type="dxa"/>
              <w:start w:w="100" w:type="dxa"/>
              <w:bottom w:w="100" w:type="dxa"/>
              <w:end w:w="10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Aptos" w:hAnsi="Aptos"/>
                <w:b w:val="0"/>
                <w:color w:val="20262B"/>
                <w:sz w:val="17"/>
              </w:rPr>
              <w:t>Commits, capturas e testes de formulário.</w:t>
            </w:r>
          </w:p>
        </w:tc>
        <w:tc>
          <w:tcPr>
            <w:tcW w:type="dxa" w:w="737"/>
            <w:shd w:fill="FFFFFF"/>
            <w:vAlign w:val="center"/>
            <w:tcMar>
              <w:top w:w="100" w:type="dxa"/>
              <w:start w:w="100" w:type="dxa"/>
              <w:bottom w:w="100" w:type="dxa"/>
              <w:end w:w="10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Aptos" w:hAnsi="Aptos"/>
                <w:b/>
                <w:color w:val="246B6B"/>
                <w:sz w:val="18"/>
              </w:rPr>
              <w:t>5 h</w:t>
            </w:r>
          </w:p>
        </w:tc>
      </w:tr>
      <w:tr>
        <w:trPr>
          <w:cantSplit/>
          <w:trHeight w:val="709" w:hRule="atLeast"/>
        </w:trPr>
        <w:tc>
          <w:tcPr>
            <w:tcW w:type="dxa" w:w="1701"/>
            <w:shd w:fill="F3F5F6"/>
            <w:vAlign w:val="center"/>
            <w:tcMar>
              <w:top w:w="100" w:type="dxa"/>
              <w:start w:w="100" w:type="dxa"/>
              <w:bottom w:w="100" w:type="dxa"/>
              <w:end w:w="10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Aptos" w:hAnsi="Aptos"/>
                <w:b/>
                <w:color w:val="17324D"/>
                <w:sz w:val="17"/>
              </w:rPr>
              <w:t>Semana 10</w:t>
              <w:br/>
              <w:t>26/10–01/11</w:t>
            </w:r>
          </w:p>
        </w:tc>
        <w:tc>
          <w:tcPr>
            <w:tcW w:type="dxa" w:w="4535"/>
            <w:shd w:fill="F3F5F6"/>
            <w:vAlign w:val="center"/>
            <w:tcMar>
              <w:top w:w="100" w:type="dxa"/>
              <w:start w:w="100" w:type="dxa"/>
              <w:bottom w:w="100" w:type="dxa"/>
              <w:end w:w="10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Aptos" w:hAnsi="Aptos"/>
                <w:b w:val="0"/>
                <w:color w:val="20262B"/>
                <w:sz w:val="17"/>
              </w:rPr>
              <w:t>Corrigir semântica e navegação por teclado no dashboard, clubes, livros e encontros, eliminando padrões de cartões que simulam links.</w:t>
            </w:r>
          </w:p>
        </w:tc>
        <w:tc>
          <w:tcPr>
            <w:tcW w:type="dxa" w:w="2835"/>
            <w:shd w:fill="F3F5F6"/>
            <w:vAlign w:val="center"/>
            <w:tcMar>
              <w:top w:w="100" w:type="dxa"/>
              <w:start w:w="100" w:type="dxa"/>
              <w:bottom w:w="100" w:type="dxa"/>
              <w:end w:w="10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Aptos" w:hAnsi="Aptos"/>
                <w:b w:val="0"/>
                <w:color w:val="20262B"/>
                <w:sz w:val="17"/>
              </w:rPr>
              <w:t>Commits e checklist dos fluxos críticos.</w:t>
            </w:r>
          </w:p>
        </w:tc>
        <w:tc>
          <w:tcPr>
            <w:tcW w:type="dxa" w:w="737"/>
            <w:shd w:fill="F3F5F6"/>
            <w:vAlign w:val="center"/>
            <w:tcMar>
              <w:top w:w="100" w:type="dxa"/>
              <w:start w:w="100" w:type="dxa"/>
              <w:bottom w:w="100" w:type="dxa"/>
              <w:end w:w="10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Aptos" w:hAnsi="Aptos"/>
                <w:b/>
                <w:color w:val="246B6B"/>
                <w:sz w:val="18"/>
              </w:rPr>
              <w:t>5 h</w:t>
            </w:r>
          </w:p>
        </w:tc>
      </w:tr>
      <w:tr>
        <w:trPr>
          <w:cantSplit/>
          <w:trHeight w:val="709" w:hRule="atLeast"/>
        </w:trPr>
        <w:tc>
          <w:tcPr>
            <w:tcW w:type="dxa" w:w="1701"/>
            <w:shd w:fill="FFFFFF"/>
            <w:vAlign w:val="center"/>
            <w:tcMar>
              <w:top w:w="100" w:type="dxa"/>
              <w:start w:w="100" w:type="dxa"/>
              <w:bottom w:w="100" w:type="dxa"/>
              <w:end w:w="10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Aptos" w:hAnsi="Aptos"/>
                <w:b/>
                <w:color w:val="17324D"/>
                <w:sz w:val="17"/>
              </w:rPr>
              <w:t>Semana 11</w:t>
              <w:br/>
              <w:t>02/11–08/11</w:t>
            </w:r>
          </w:p>
        </w:tc>
        <w:tc>
          <w:tcPr>
            <w:tcW w:type="dxa" w:w="4535"/>
            <w:shd w:fill="FFFFFF"/>
            <w:vAlign w:val="center"/>
            <w:tcMar>
              <w:top w:w="100" w:type="dxa"/>
              <w:start w:w="100" w:type="dxa"/>
              <w:bottom w:w="100" w:type="dxa"/>
              <w:end w:w="10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Aptos" w:hAnsi="Aptos"/>
                <w:b w:val="0"/>
                <w:color w:val="20262B"/>
                <w:sz w:val="17"/>
              </w:rPr>
              <w:t>Aprimorar feedback dinâmico e ajustar contraste, zoom/reflow, alvos e movimento; incorporar verificações automatizadas nos fluxos representativos.</w:t>
            </w:r>
          </w:p>
        </w:tc>
        <w:tc>
          <w:tcPr>
            <w:tcW w:type="dxa" w:w="2835"/>
            <w:shd w:fill="FFFFFF"/>
            <w:vAlign w:val="center"/>
            <w:tcMar>
              <w:top w:w="100" w:type="dxa"/>
              <w:start w:w="100" w:type="dxa"/>
              <w:bottom w:w="100" w:type="dxa"/>
              <w:end w:w="10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Aptos" w:hAnsi="Aptos"/>
                <w:b w:val="0"/>
                <w:color w:val="20262B"/>
                <w:sz w:val="17"/>
              </w:rPr>
              <w:t>Registros com NVDA, relatórios axe/Lighthouse e commits.</w:t>
            </w:r>
          </w:p>
        </w:tc>
        <w:tc>
          <w:tcPr>
            <w:tcW w:type="dxa" w:w="737"/>
            <w:shd w:fill="FFFFFF"/>
            <w:vAlign w:val="center"/>
            <w:tcMar>
              <w:top w:w="100" w:type="dxa"/>
              <w:start w:w="100" w:type="dxa"/>
              <w:bottom w:w="100" w:type="dxa"/>
              <w:end w:w="10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Aptos" w:hAnsi="Aptos"/>
                <w:b/>
                <w:color w:val="246B6B"/>
                <w:sz w:val="18"/>
              </w:rPr>
              <w:t>4 h</w:t>
            </w:r>
          </w:p>
        </w:tc>
      </w:tr>
    </w:tbl>
    <w:p>
      <w:pPr>
        <w:spacing w:after="0"/>
      </w:pPr>
    </w:p>
    <w:p>
      <w:pPr>
        <w:pStyle w:val="Heading2"/>
        <w:keepNext/>
        <w:keepLines/>
      </w:pPr>
      <w:r>
        <w:t>Fase 4 – Validação, divulgação e entrega</w:t>
      </w:r>
    </w:p>
    <w:p>
      <w:pPr>
        <w:keepNext/>
        <w:keepLines/>
        <w:spacing w:after="100"/>
      </w:pPr>
      <w:r>
        <w:rPr>
          <w:rFonts w:ascii="Aptos" w:hAnsi="Aptos"/>
          <w:b/>
          <w:color w:val="246B6B"/>
          <w:sz w:val="19"/>
        </w:rPr>
        <w:t>Período: 09/11/2026 a 29/11/2026  •  Carga da fase: 12 h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6" w:space="0" w:color="D9E1E5"/>
          <w:left w:val="single" w:sz="6" w:space="0" w:color="D9E1E5"/>
          <w:bottom w:val="single" w:sz="6" w:space="0" w:color="D9E1E5"/>
          <w:right w:val="single" w:sz="6" w:space="0" w:color="D9E1E5"/>
          <w:insideH w:val="single" w:sz="6" w:space="0" w:color="D9E1E5"/>
          <w:insideV w:val="single" w:sz="6" w:space="0" w:color="D9E1E5"/>
        </w:tblBorders>
      </w:tblPr>
      <w:tblGrid>
        <w:gridCol w:w="2494"/>
        <w:gridCol w:w="2494"/>
        <w:gridCol w:w="2494"/>
        <w:gridCol w:w="2494"/>
      </w:tblGrid>
      <w:tr>
        <w:trPr>
          <w:trHeight w:val="454" w:hRule="atLeast"/>
          <w:tblHeader w:val="true"/>
          <w:cantSplit/>
        </w:trPr>
        <w:tc>
          <w:tcPr>
            <w:tcW w:type="dxa" w:w="1701"/>
            <w:vAlign w:val="center"/>
            <w:tcMar>
              <w:top w:w="100" w:type="dxa"/>
              <w:start w:w="100" w:type="dxa"/>
              <w:bottom w:w="100" w:type="dxa"/>
              <w:end w:w="100" w:type="dxa"/>
            </w:tcMar>
            <w:shd w:fill="17324D"/>
          </w:tcPr>
          <w:p>
            <w:pPr>
              <w:spacing w:after="0" w:before="0" w:line="240" w:lineRule="auto"/>
              <w:jc w:val="center"/>
            </w:pPr>
            <w:r/>
            <w:r>
              <w:rPr>
                <w:rFonts w:ascii="Aptos" w:hAnsi="Aptos"/>
                <w:b/>
                <w:color w:val="FFFFFF"/>
                <w:sz w:val="17"/>
              </w:rPr>
              <w:t>Semana e período</w:t>
            </w:r>
          </w:p>
        </w:tc>
        <w:tc>
          <w:tcPr>
            <w:tcW w:type="dxa" w:w="4535"/>
            <w:vAlign w:val="center"/>
            <w:tcMar>
              <w:top w:w="100" w:type="dxa"/>
              <w:start w:w="100" w:type="dxa"/>
              <w:bottom w:w="100" w:type="dxa"/>
              <w:end w:w="100" w:type="dxa"/>
            </w:tcMar>
            <w:shd w:fill="17324D"/>
          </w:tcPr>
          <w:p>
            <w:pPr>
              <w:spacing w:after="0" w:before="0" w:line="240" w:lineRule="auto"/>
              <w:jc w:val="left"/>
            </w:pPr>
            <w:r/>
            <w:r>
              <w:rPr>
                <w:rFonts w:ascii="Aptos" w:hAnsi="Aptos"/>
                <w:b/>
                <w:color w:val="FFFFFF"/>
                <w:sz w:val="17"/>
              </w:rPr>
              <w:t>Atividades planejadas</w:t>
            </w:r>
          </w:p>
        </w:tc>
        <w:tc>
          <w:tcPr>
            <w:tcW w:type="dxa" w:w="2835"/>
            <w:vAlign w:val="center"/>
            <w:tcMar>
              <w:top w:w="100" w:type="dxa"/>
              <w:start w:w="100" w:type="dxa"/>
              <w:bottom w:w="100" w:type="dxa"/>
              <w:end w:w="100" w:type="dxa"/>
            </w:tcMar>
            <w:shd w:fill="17324D"/>
          </w:tcPr>
          <w:p>
            <w:pPr>
              <w:spacing w:after="0" w:before="0" w:line="240" w:lineRule="auto"/>
              <w:jc w:val="left"/>
            </w:pPr>
            <w:r/>
            <w:r>
              <w:rPr>
                <w:rFonts w:ascii="Aptos" w:hAnsi="Aptos"/>
                <w:b/>
                <w:color w:val="FFFFFF"/>
                <w:sz w:val="17"/>
              </w:rPr>
              <w:t>Entregável / evidência</w:t>
            </w:r>
          </w:p>
        </w:tc>
        <w:tc>
          <w:tcPr>
            <w:tcW w:type="dxa" w:w="737"/>
            <w:vAlign w:val="center"/>
            <w:tcMar>
              <w:top w:w="100" w:type="dxa"/>
              <w:start w:w="100" w:type="dxa"/>
              <w:bottom w:w="100" w:type="dxa"/>
              <w:end w:w="100" w:type="dxa"/>
            </w:tcMar>
            <w:shd w:fill="17324D"/>
          </w:tcPr>
          <w:p>
            <w:pPr>
              <w:spacing w:after="0" w:before="0" w:line="240" w:lineRule="auto"/>
              <w:jc w:val="center"/>
            </w:pPr>
            <w:r/>
            <w:r>
              <w:rPr>
                <w:rFonts w:ascii="Aptos" w:hAnsi="Aptos"/>
                <w:b/>
                <w:color w:val="FFFFFF"/>
                <w:sz w:val="17"/>
              </w:rPr>
              <w:t>Horas</w:t>
            </w:r>
          </w:p>
        </w:tc>
      </w:tr>
      <w:tr>
        <w:trPr>
          <w:cantSplit/>
          <w:trHeight w:val="709" w:hRule="atLeast"/>
        </w:trPr>
        <w:tc>
          <w:tcPr>
            <w:tcW w:type="dxa" w:w="1701"/>
            <w:shd w:fill="FFFFFF"/>
            <w:vAlign w:val="center"/>
            <w:tcMar>
              <w:top w:w="100" w:type="dxa"/>
              <w:start w:w="100" w:type="dxa"/>
              <w:bottom w:w="100" w:type="dxa"/>
              <w:end w:w="10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Aptos" w:hAnsi="Aptos"/>
                <w:b/>
                <w:color w:val="17324D"/>
                <w:sz w:val="17"/>
              </w:rPr>
              <w:t>Semana 12</w:t>
              <w:br/>
              <w:t>09/11–15/11</w:t>
            </w:r>
          </w:p>
        </w:tc>
        <w:tc>
          <w:tcPr>
            <w:tcW w:type="dxa" w:w="4535"/>
            <w:shd w:fill="FFFFFF"/>
            <w:vAlign w:val="center"/>
            <w:tcMar>
              <w:top w:w="100" w:type="dxa"/>
              <w:start w:w="100" w:type="dxa"/>
              <w:bottom w:w="100" w:type="dxa"/>
              <w:end w:w="10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Aptos" w:hAnsi="Aptos"/>
                <w:b w:val="0"/>
                <w:color w:val="20262B"/>
                <w:sz w:val="17"/>
              </w:rPr>
              <w:t>Preparar guia de recursos acessíveis, apresentar a versão ao clube e comparar os testes automáticos com a linha de base.</w:t>
            </w:r>
          </w:p>
        </w:tc>
        <w:tc>
          <w:tcPr>
            <w:tcW w:type="dxa" w:w="2835"/>
            <w:shd w:fill="FFFFFF"/>
            <w:vAlign w:val="center"/>
            <w:tcMar>
              <w:top w:w="100" w:type="dxa"/>
              <w:start w:w="100" w:type="dxa"/>
              <w:bottom w:w="100" w:type="dxa"/>
              <w:end w:w="10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Aptos" w:hAnsi="Aptos"/>
                <w:b w:val="0"/>
                <w:color w:val="20262B"/>
                <w:sz w:val="17"/>
              </w:rPr>
              <w:t>Guia, feedback do público e relatórios comparativos.</w:t>
            </w:r>
          </w:p>
        </w:tc>
        <w:tc>
          <w:tcPr>
            <w:tcW w:type="dxa" w:w="737"/>
            <w:shd w:fill="FFFFFF"/>
            <w:vAlign w:val="center"/>
            <w:tcMar>
              <w:top w:w="100" w:type="dxa"/>
              <w:start w:w="100" w:type="dxa"/>
              <w:bottom w:w="100" w:type="dxa"/>
              <w:end w:w="10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Aptos" w:hAnsi="Aptos"/>
                <w:b/>
                <w:color w:val="246B6B"/>
                <w:sz w:val="18"/>
              </w:rPr>
              <w:t>4 h</w:t>
            </w:r>
          </w:p>
        </w:tc>
      </w:tr>
      <w:tr>
        <w:trPr>
          <w:cantSplit/>
          <w:trHeight w:val="709" w:hRule="atLeast"/>
        </w:trPr>
        <w:tc>
          <w:tcPr>
            <w:tcW w:type="dxa" w:w="1701"/>
            <w:shd w:fill="F3F5F6"/>
            <w:vAlign w:val="center"/>
            <w:tcMar>
              <w:top w:w="100" w:type="dxa"/>
              <w:start w:w="100" w:type="dxa"/>
              <w:bottom w:w="100" w:type="dxa"/>
              <w:end w:w="10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Aptos" w:hAnsi="Aptos"/>
                <w:b/>
                <w:color w:val="17324D"/>
                <w:sz w:val="17"/>
              </w:rPr>
              <w:t>Semana 13</w:t>
              <w:br/>
              <w:t>16/11–22/11</w:t>
            </w:r>
          </w:p>
        </w:tc>
        <w:tc>
          <w:tcPr>
            <w:tcW w:type="dxa" w:w="4535"/>
            <w:shd w:fill="F3F5F6"/>
            <w:vAlign w:val="center"/>
            <w:tcMar>
              <w:top w:w="100" w:type="dxa"/>
              <w:start w:w="100" w:type="dxa"/>
              <w:bottom w:w="100" w:type="dxa"/>
              <w:end w:w="10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Aptos" w:hAnsi="Aptos"/>
                <w:b w:val="0"/>
                <w:color w:val="20262B"/>
                <w:sz w:val="17"/>
              </w:rPr>
              <w:t>Testar manualmente com teclado, NVDA, zoom e alto contraste; corrigir barreiras prioritárias e documentar limitações remanescentes.</w:t>
            </w:r>
          </w:p>
        </w:tc>
        <w:tc>
          <w:tcPr>
            <w:tcW w:type="dxa" w:w="2835"/>
            <w:shd w:fill="F3F5F6"/>
            <w:vAlign w:val="center"/>
            <w:tcMar>
              <w:top w:w="100" w:type="dxa"/>
              <w:start w:w="100" w:type="dxa"/>
              <w:bottom w:w="100" w:type="dxa"/>
              <w:end w:w="10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Aptos" w:hAnsi="Aptos"/>
                <w:b w:val="0"/>
                <w:color w:val="20262B"/>
                <w:sz w:val="17"/>
              </w:rPr>
              <w:t>Roteiros, evidências e backlog residual.</w:t>
            </w:r>
          </w:p>
        </w:tc>
        <w:tc>
          <w:tcPr>
            <w:tcW w:type="dxa" w:w="737"/>
            <w:shd w:fill="F3F5F6"/>
            <w:vAlign w:val="center"/>
            <w:tcMar>
              <w:top w:w="100" w:type="dxa"/>
              <w:start w:w="100" w:type="dxa"/>
              <w:bottom w:w="100" w:type="dxa"/>
              <w:end w:w="10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Aptos" w:hAnsi="Aptos"/>
                <w:b/>
                <w:color w:val="246B6B"/>
                <w:sz w:val="18"/>
              </w:rPr>
              <w:t>4 h</w:t>
            </w:r>
          </w:p>
        </w:tc>
      </w:tr>
      <w:tr>
        <w:trPr>
          <w:cantSplit/>
          <w:trHeight w:val="709" w:hRule="atLeast"/>
        </w:trPr>
        <w:tc>
          <w:tcPr>
            <w:tcW w:type="dxa" w:w="1701"/>
            <w:shd w:fill="FFFFFF"/>
            <w:vAlign w:val="center"/>
            <w:tcMar>
              <w:top w:w="100" w:type="dxa"/>
              <w:start w:w="100" w:type="dxa"/>
              <w:bottom w:w="100" w:type="dxa"/>
              <w:end w:w="10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Aptos" w:hAnsi="Aptos"/>
                <w:b/>
                <w:color w:val="17324D"/>
                <w:sz w:val="17"/>
              </w:rPr>
              <w:t>Semana 14</w:t>
              <w:br/>
              <w:t>23/11–29/11</w:t>
            </w:r>
          </w:p>
        </w:tc>
        <w:tc>
          <w:tcPr>
            <w:tcW w:type="dxa" w:w="4535"/>
            <w:shd w:fill="FFFFFF"/>
            <w:vAlign w:val="center"/>
            <w:tcMar>
              <w:top w:w="100" w:type="dxa"/>
              <w:start w:w="100" w:type="dxa"/>
              <w:bottom w:w="100" w:type="dxa"/>
              <w:end w:w="10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Aptos" w:hAnsi="Aptos"/>
                <w:b w:val="0"/>
                <w:color w:val="20262B"/>
                <w:sz w:val="17"/>
              </w:rPr>
              <w:t>Revisar resultados com o orientador; concluir relatório, organizar evidências, conferir as horas realizadas e preparar a entrega final.</w:t>
            </w:r>
          </w:p>
        </w:tc>
        <w:tc>
          <w:tcPr>
            <w:tcW w:type="dxa" w:w="2835"/>
            <w:shd w:fill="FFFFFF"/>
            <w:vAlign w:val="center"/>
            <w:tcMar>
              <w:top w:w="100" w:type="dxa"/>
              <w:start w:w="100" w:type="dxa"/>
              <w:bottom w:w="100" w:type="dxa"/>
              <w:end w:w="10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Aptos" w:hAnsi="Aptos"/>
                <w:b w:val="0"/>
                <w:color w:val="20262B"/>
                <w:sz w:val="17"/>
              </w:rPr>
              <w:t>Registro da revisão, relatório final e pacote de evidências.</w:t>
            </w:r>
          </w:p>
        </w:tc>
        <w:tc>
          <w:tcPr>
            <w:tcW w:type="dxa" w:w="737"/>
            <w:shd w:fill="FFFFFF"/>
            <w:vAlign w:val="center"/>
            <w:tcMar>
              <w:top w:w="100" w:type="dxa"/>
              <w:start w:w="100" w:type="dxa"/>
              <w:bottom w:w="100" w:type="dxa"/>
              <w:end w:w="10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Aptos" w:hAnsi="Aptos"/>
                <w:b/>
                <w:color w:val="246B6B"/>
                <w:sz w:val="18"/>
              </w:rPr>
              <w:t>4 h</w:t>
            </w:r>
          </w:p>
        </w:tc>
      </w:tr>
    </w:tbl>
    <w:p>
      <w:pPr>
        <w:spacing w:after="0"/>
      </w:pPr>
    </w:p>
    <w:p>
      <w:pPr>
        <w:pStyle w:val="Heading1"/>
        <w:keepNext/>
        <w:keepLines/>
      </w:pPr>
      <w:r>
        <w:t>4. Matriz mínima de validação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6" w:space="0" w:color="D9E1E5"/>
          <w:left w:val="single" w:sz="6" w:space="0" w:color="D9E1E5"/>
          <w:bottom w:val="single" w:sz="6" w:space="0" w:color="D9E1E5"/>
          <w:right w:val="single" w:sz="6" w:space="0" w:color="D9E1E5"/>
          <w:insideH w:val="single" w:sz="6" w:space="0" w:color="D9E1E5"/>
          <w:insideV w:val="single" w:sz="6" w:space="0" w:color="D9E1E5"/>
        </w:tblBorders>
      </w:tblPr>
      <w:tblGrid>
        <w:gridCol w:w="3326"/>
        <w:gridCol w:w="3326"/>
        <w:gridCol w:w="3326"/>
      </w:tblGrid>
      <w:tr>
        <w:trPr>
          <w:tblHeader w:val="true"/>
        </w:trPr>
        <w:tc>
          <w:tcPr>
            <w:tcW w:type="dxa" w:w="2324"/>
            <w:vAlign w:val="center"/>
            <w:tcMar>
              <w:top w:w="100" w:type="dxa"/>
              <w:start w:w="100" w:type="dxa"/>
              <w:bottom w:w="100" w:type="dxa"/>
              <w:end w:w="100" w:type="dxa"/>
            </w:tcMar>
            <w:shd w:fill="17324D"/>
          </w:tcPr>
          <w:p>
            <w:pPr>
              <w:spacing w:after="0" w:before="0" w:line="240" w:lineRule="auto"/>
              <w:jc w:val="left"/>
            </w:pPr>
            <w:r/>
            <w:r>
              <w:rPr>
                <w:rFonts w:ascii="Aptos" w:hAnsi="Aptos"/>
                <w:b/>
                <w:color w:val="FFFFFF"/>
                <w:sz w:val="17"/>
              </w:rPr>
              <w:t>Método / recurso</w:t>
            </w:r>
          </w:p>
        </w:tc>
        <w:tc>
          <w:tcPr>
            <w:tcW w:type="dxa" w:w="4706"/>
            <w:vAlign w:val="center"/>
            <w:tcMar>
              <w:top w:w="100" w:type="dxa"/>
              <w:start w:w="100" w:type="dxa"/>
              <w:bottom w:w="100" w:type="dxa"/>
              <w:end w:w="100" w:type="dxa"/>
            </w:tcMar>
            <w:shd w:fill="17324D"/>
          </w:tcPr>
          <w:p>
            <w:pPr>
              <w:spacing w:after="0" w:before="0" w:line="240" w:lineRule="auto"/>
              <w:jc w:val="left"/>
            </w:pPr>
            <w:r/>
            <w:r>
              <w:rPr>
                <w:rFonts w:ascii="Aptos" w:hAnsi="Aptos"/>
                <w:b/>
                <w:color w:val="FFFFFF"/>
                <w:sz w:val="17"/>
              </w:rPr>
              <w:t>Cobertura</w:t>
            </w:r>
          </w:p>
        </w:tc>
        <w:tc>
          <w:tcPr>
            <w:tcW w:type="dxa" w:w="2891"/>
            <w:vAlign w:val="center"/>
            <w:tcMar>
              <w:top w:w="100" w:type="dxa"/>
              <w:start w:w="100" w:type="dxa"/>
              <w:bottom w:w="100" w:type="dxa"/>
              <w:end w:w="100" w:type="dxa"/>
            </w:tcMar>
            <w:shd w:fill="17324D"/>
          </w:tcPr>
          <w:p>
            <w:pPr>
              <w:spacing w:after="0" w:before="0" w:line="240" w:lineRule="auto"/>
              <w:jc w:val="left"/>
            </w:pPr>
            <w:r/>
            <w:r>
              <w:rPr>
                <w:rFonts w:ascii="Aptos" w:hAnsi="Aptos"/>
                <w:b/>
                <w:color w:val="FFFFFF"/>
                <w:sz w:val="17"/>
              </w:rPr>
              <w:t>Evidência esperada</w:t>
            </w:r>
          </w:p>
        </w:tc>
      </w:tr>
      <w:tr>
        <w:trPr>
          <w:cantSplit/>
        </w:trPr>
        <w:tc>
          <w:tcPr>
            <w:tcW w:type="dxa" w:w="2324"/>
            <w:shd w:fill="FFFFFF"/>
            <w:vAlign w:val="center"/>
            <w:tcMar>
              <w:top w:w="100" w:type="dxa"/>
              <w:start w:w="100" w:type="dxa"/>
              <w:bottom w:w="100" w:type="dxa"/>
              <w:end w:w="100" w:type="dxa"/>
            </w:tcMar>
          </w:tcPr>
          <w:p>
            <w:pPr>
              <w:spacing w:after="0" w:before="0" w:line="240" w:lineRule="auto"/>
              <w:jc w:val="left"/>
            </w:pPr>
            <w:r/>
            <w:r>
              <w:rPr>
                <w:rFonts w:ascii="Aptos" w:hAnsi="Aptos"/>
                <w:b/>
                <w:color w:val="17324D"/>
                <w:sz w:val="17"/>
              </w:rPr>
              <w:t>Somente teclado</w:t>
            </w:r>
          </w:p>
        </w:tc>
        <w:tc>
          <w:tcPr>
            <w:tcW w:type="dxa" w:w="4706"/>
            <w:shd w:fill="FFFFFF"/>
            <w:vAlign w:val="center"/>
            <w:tcMar>
              <w:top w:w="100" w:type="dxa"/>
              <w:start w:w="100" w:type="dxa"/>
              <w:bottom w:w="100" w:type="dxa"/>
              <w:end w:w="100" w:type="dxa"/>
            </w:tcMar>
          </w:tcPr>
          <w:p>
            <w:pPr>
              <w:spacing w:after="0" w:before="0" w:line="240" w:lineRule="auto"/>
              <w:jc w:val="left"/>
            </w:pPr>
            <w:r/>
            <w:r>
              <w:rPr>
                <w:rFonts w:ascii="Aptos" w:hAnsi="Aptos"/>
                <w:b w:val="0"/>
                <w:color w:val="20262B"/>
                <w:sz w:val="17"/>
              </w:rPr>
              <w:t>Login, cadastro, dashboard, clubes, livros, encontros, perfil, menus e modais.</w:t>
            </w:r>
          </w:p>
        </w:tc>
        <w:tc>
          <w:tcPr>
            <w:tcW w:type="dxa" w:w="2891"/>
            <w:shd w:fill="FFFFFF"/>
            <w:vAlign w:val="center"/>
            <w:tcMar>
              <w:top w:w="100" w:type="dxa"/>
              <w:start w:w="100" w:type="dxa"/>
              <w:bottom w:w="100" w:type="dxa"/>
              <w:end w:w="100" w:type="dxa"/>
            </w:tcMar>
          </w:tcPr>
          <w:p>
            <w:pPr>
              <w:spacing w:after="0" w:before="0" w:line="240" w:lineRule="auto"/>
              <w:jc w:val="left"/>
            </w:pPr>
            <w:r/>
            <w:r>
              <w:rPr>
                <w:rFonts w:ascii="Aptos" w:hAnsi="Aptos"/>
                <w:b w:val="0"/>
                <w:color w:val="20262B"/>
                <w:sz w:val="17"/>
              </w:rPr>
              <w:t>Roteiro executado e registro de bloqueios.</w:t>
            </w:r>
          </w:p>
        </w:tc>
      </w:tr>
      <w:tr>
        <w:trPr>
          <w:cantSplit/>
        </w:trPr>
        <w:tc>
          <w:tcPr>
            <w:tcW w:type="dxa" w:w="2324"/>
            <w:shd w:fill="F3F5F6"/>
            <w:vAlign w:val="center"/>
            <w:tcMar>
              <w:top w:w="100" w:type="dxa"/>
              <w:start w:w="100" w:type="dxa"/>
              <w:bottom w:w="100" w:type="dxa"/>
              <w:end w:w="100" w:type="dxa"/>
            </w:tcMar>
          </w:tcPr>
          <w:p>
            <w:pPr>
              <w:spacing w:after="0" w:before="0" w:line="240" w:lineRule="auto"/>
              <w:jc w:val="left"/>
            </w:pPr>
            <w:r/>
            <w:r>
              <w:rPr>
                <w:rFonts w:ascii="Aptos" w:hAnsi="Aptos"/>
                <w:b/>
                <w:color w:val="17324D"/>
                <w:sz w:val="17"/>
              </w:rPr>
              <w:t>NVDA + navegador</w:t>
            </w:r>
          </w:p>
        </w:tc>
        <w:tc>
          <w:tcPr>
            <w:tcW w:type="dxa" w:w="4706"/>
            <w:shd w:fill="F3F5F6"/>
            <w:vAlign w:val="center"/>
            <w:tcMar>
              <w:top w:w="100" w:type="dxa"/>
              <w:start w:w="100" w:type="dxa"/>
              <w:bottom w:w="100" w:type="dxa"/>
              <w:end w:w="100" w:type="dxa"/>
            </w:tcMar>
          </w:tcPr>
          <w:p>
            <w:pPr>
              <w:spacing w:after="0" w:before="0" w:line="240" w:lineRule="auto"/>
              <w:jc w:val="left"/>
            </w:pPr>
            <w:r/>
            <w:r>
              <w:rPr>
                <w:rFonts w:ascii="Aptos" w:hAnsi="Aptos"/>
                <w:b w:val="0"/>
                <w:color w:val="20262B"/>
                <w:sz w:val="17"/>
              </w:rPr>
              <w:t>Landmarks, títulos, nomes/estados, formulários, mensagens dinâmicas e diálogos.</w:t>
            </w:r>
          </w:p>
        </w:tc>
        <w:tc>
          <w:tcPr>
            <w:tcW w:type="dxa" w:w="2891"/>
            <w:shd w:fill="F3F5F6"/>
            <w:vAlign w:val="center"/>
            <w:tcMar>
              <w:top w:w="100" w:type="dxa"/>
              <w:start w:w="100" w:type="dxa"/>
              <w:bottom w:w="100" w:type="dxa"/>
              <w:end w:w="100" w:type="dxa"/>
            </w:tcMar>
          </w:tcPr>
          <w:p>
            <w:pPr>
              <w:spacing w:after="0" w:before="0" w:line="240" w:lineRule="auto"/>
              <w:jc w:val="left"/>
            </w:pPr>
            <w:r/>
            <w:r>
              <w:rPr>
                <w:rFonts w:ascii="Aptos" w:hAnsi="Aptos"/>
                <w:b w:val="0"/>
                <w:color w:val="20262B"/>
                <w:sz w:val="17"/>
              </w:rPr>
              <w:t>Notas de leitura e capturas quando aplicável.</w:t>
            </w:r>
          </w:p>
        </w:tc>
      </w:tr>
      <w:tr>
        <w:trPr>
          <w:cantSplit/>
        </w:trPr>
        <w:tc>
          <w:tcPr>
            <w:tcW w:type="dxa" w:w="2324"/>
            <w:shd w:fill="FFFFFF"/>
            <w:vAlign w:val="center"/>
            <w:tcMar>
              <w:top w:w="100" w:type="dxa"/>
              <w:start w:w="100" w:type="dxa"/>
              <w:bottom w:w="100" w:type="dxa"/>
              <w:end w:w="100" w:type="dxa"/>
            </w:tcMar>
          </w:tcPr>
          <w:p>
            <w:pPr>
              <w:spacing w:after="0" w:before="0" w:line="240" w:lineRule="auto"/>
              <w:jc w:val="left"/>
            </w:pPr>
            <w:r/>
            <w:r>
              <w:rPr>
                <w:rFonts w:ascii="Aptos" w:hAnsi="Aptos"/>
                <w:b/>
                <w:color w:val="17324D"/>
                <w:sz w:val="17"/>
              </w:rPr>
              <w:t>Zoom e reflow</w:t>
            </w:r>
          </w:p>
        </w:tc>
        <w:tc>
          <w:tcPr>
            <w:tcW w:type="dxa" w:w="4706"/>
            <w:shd w:fill="FFFFFF"/>
            <w:vAlign w:val="center"/>
            <w:tcMar>
              <w:top w:w="100" w:type="dxa"/>
              <w:start w:w="100" w:type="dxa"/>
              <w:bottom w:w="100" w:type="dxa"/>
              <w:end w:w="100" w:type="dxa"/>
            </w:tcMar>
          </w:tcPr>
          <w:p>
            <w:pPr>
              <w:spacing w:after="0" w:before="0" w:line="240" w:lineRule="auto"/>
              <w:jc w:val="left"/>
            </w:pPr>
            <w:r/>
            <w:r>
              <w:rPr>
                <w:rFonts w:ascii="Aptos" w:hAnsi="Aptos"/>
                <w:b w:val="0"/>
                <w:color w:val="20262B"/>
                <w:sz w:val="17"/>
              </w:rPr>
              <w:t>Zoom em 200% e 400%, viewport estreito, conteúdo sem perda e sem rolagem bidimensional indevida.</w:t>
            </w:r>
          </w:p>
        </w:tc>
        <w:tc>
          <w:tcPr>
            <w:tcW w:type="dxa" w:w="2891"/>
            <w:shd w:fill="FFFFFF"/>
            <w:vAlign w:val="center"/>
            <w:tcMar>
              <w:top w:w="100" w:type="dxa"/>
              <w:start w:w="100" w:type="dxa"/>
              <w:bottom w:w="100" w:type="dxa"/>
              <w:end w:w="100" w:type="dxa"/>
            </w:tcMar>
          </w:tcPr>
          <w:p>
            <w:pPr>
              <w:spacing w:after="0" w:before="0" w:line="240" w:lineRule="auto"/>
              <w:jc w:val="left"/>
            </w:pPr>
            <w:r/>
            <w:r>
              <w:rPr>
                <w:rFonts w:ascii="Aptos" w:hAnsi="Aptos"/>
                <w:b w:val="0"/>
                <w:color w:val="20262B"/>
                <w:sz w:val="17"/>
              </w:rPr>
              <w:t>Capturas comparativas por fluxo.</w:t>
            </w:r>
          </w:p>
        </w:tc>
      </w:tr>
      <w:tr>
        <w:trPr>
          <w:cantSplit/>
        </w:trPr>
        <w:tc>
          <w:tcPr>
            <w:tcW w:type="dxa" w:w="2324"/>
            <w:shd w:fill="F3F5F6"/>
            <w:vAlign w:val="center"/>
            <w:tcMar>
              <w:top w:w="100" w:type="dxa"/>
              <w:start w:w="100" w:type="dxa"/>
              <w:bottom w:w="100" w:type="dxa"/>
              <w:end w:w="100" w:type="dxa"/>
            </w:tcMar>
          </w:tcPr>
          <w:p>
            <w:pPr>
              <w:spacing w:after="0" w:before="0" w:line="240" w:lineRule="auto"/>
              <w:jc w:val="left"/>
            </w:pPr>
            <w:r/>
            <w:r>
              <w:rPr>
                <w:rFonts w:ascii="Aptos" w:hAnsi="Aptos"/>
                <w:b/>
                <w:color w:val="17324D"/>
                <w:sz w:val="17"/>
              </w:rPr>
              <w:t>Alto contraste e cores</w:t>
            </w:r>
          </w:p>
        </w:tc>
        <w:tc>
          <w:tcPr>
            <w:tcW w:type="dxa" w:w="4706"/>
            <w:shd w:fill="F3F5F6"/>
            <w:vAlign w:val="center"/>
            <w:tcMar>
              <w:top w:w="100" w:type="dxa"/>
              <w:start w:w="100" w:type="dxa"/>
              <w:bottom w:w="100" w:type="dxa"/>
              <w:end w:w="100" w:type="dxa"/>
            </w:tcMar>
          </w:tcPr>
          <w:p>
            <w:pPr>
              <w:spacing w:after="0" w:before="0" w:line="240" w:lineRule="auto"/>
              <w:jc w:val="left"/>
            </w:pPr>
            <w:r/>
            <w:r>
              <w:rPr>
                <w:rFonts w:ascii="Aptos" w:hAnsi="Aptos"/>
                <w:b w:val="0"/>
                <w:color w:val="20262B"/>
                <w:sz w:val="17"/>
              </w:rPr>
              <w:t>Contraste de texto/controles, foco visível e informações que não dependam apenas de cor.</w:t>
            </w:r>
          </w:p>
        </w:tc>
        <w:tc>
          <w:tcPr>
            <w:tcW w:type="dxa" w:w="2891"/>
            <w:shd w:fill="F3F5F6"/>
            <w:vAlign w:val="center"/>
            <w:tcMar>
              <w:top w:w="100" w:type="dxa"/>
              <w:start w:w="100" w:type="dxa"/>
              <w:bottom w:w="100" w:type="dxa"/>
              <w:end w:w="100" w:type="dxa"/>
            </w:tcMar>
          </w:tcPr>
          <w:p>
            <w:pPr>
              <w:spacing w:after="0" w:before="0" w:line="240" w:lineRule="auto"/>
              <w:jc w:val="left"/>
            </w:pPr>
            <w:r/>
            <w:r>
              <w:rPr>
                <w:rFonts w:ascii="Aptos" w:hAnsi="Aptos"/>
                <w:b w:val="0"/>
                <w:color w:val="20262B"/>
                <w:sz w:val="17"/>
              </w:rPr>
              <w:t>Medições e checklist visual.</w:t>
            </w:r>
          </w:p>
        </w:tc>
      </w:tr>
      <w:tr>
        <w:trPr>
          <w:cantSplit/>
        </w:trPr>
        <w:tc>
          <w:tcPr>
            <w:tcW w:type="dxa" w:w="2324"/>
            <w:shd w:fill="FFFFFF"/>
            <w:vAlign w:val="center"/>
            <w:tcMar>
              <w:top w:w="100" w:type="dxa"/>
              <w:start w:w="100" w:type="dxa"/>
              <w:bottom w:w="100" w:type="dxa"/>
              <w:end w:w="100" w:type="dxa"/>
            </w:tcMar>
          </w:tcPr>
          <w:p>
            <w:pPr>
              <w:spacing w:after="0" w:before="0" w:line="240" w:lineRule="auto"/>
              <w:jc w:val="left"/>
            </w:pPr>
            <w:r/>
            <w:r>
              <w:rPr>
                <w:rFonts w:ascii="Aptos" w:hAnsi="Aptos"/>
                <w:b/>
                <w:color w:val="17324D"/>
                <w:sz w:val="17"/>
              </w:rPr>
              <w:t>axe-core / Lighthouse</w:t>
            </w:r>
          </w:p>
        </w:tc>
        <w:tc>
          <w:tcPr>
            <w:tcW w:type="dxa" w:w="4706"/>
            <w:shd w:fill="FFFFFF"/>
            <w:vAlign w:val="center"/>
            <w:tcMar>
              <w:top w:w="100" w:type="dxa"/>
              <w:start w:w="100" w:type="dxa"/>
              <w:bottom w:w="100" w:type="dxa"/>
              <w:end w:w="100" w:type="dxa"/>
            </w:tcMar>
          </w:tcPr>
          <w:p>
            <w:pPr>
              <w:spacing w:after="0" w:before="0" w:line="240" w:lineRule="auto"/>
              <w:jc w:val="left"/>
            </w:pPr>
            <w:r/>
            <w:r>
              <w:rPr>
                <w:rFonts w:ascii="Aptos" w:hAnsi="Aptos"/>
                <w:b w:val="0"/>
                <w:color w:val="20262B"/>
                <w:sz w:val="17"/>
              </w:rPr>
              <w:t>Páginas e estados representativos, incluindo conteúdo autenticado e modais abertos.</w:t>
            </w:r>
          </w:p>
        </w:tc>
        <w:tc>
          <w:tcPr>
            <w:tcW w:type="dxa" w:w="2891"/>
            <w:shd w:fill="FFFFFF"/>
            <w:vAlign w:val="center"/>
            <w:tcMar>
              <w:top w:w="100" w:type="dxa"/>
              <w:start w:w="100" w:type="dxa"/>
              <w:bottom w:w="100" w:type="dxa"/>
              <w:end w:w="100" w:type="dxa"/>
            </w:tcMar>
          </w:tcPr>
          <w:p>
            <w:pPr>
              <w:spacing w:after="0" w:before="0" w:line="240" w:lineRule="auto"/>
              <w:jc w:val="left"/>
            </w:pPr>
            <w:r/>
            <w:r>
              <w:rPr>
                <w:rFonts w:ascii="Aptos" w:hAnsi="Aptos"/>
                <w:b w:val="0"/>
                <w:color w:val="20262B"/>
                <w:sz w:val="17"/>
              </w:rPr>
              <w:t>Relatórios antes/depois; revisão manual dos achados.</w:t>
            </w:r>
          </w:p>
        </w:tc>
      </w:tr>
    </w:tbl>
    <w:p>
      <w:pPr>
        <w:pStyle w:val="Heading1"/>
        <w:keepNext/>
        <w:keepLines/>
      </w:pPr>
      <w:r>
        <w:t>5. Critérios de conclusão</w:t>
      </w:r>
    </w:p>
    <w:p>
      <w:pPr>
        <w:pStyle w:val="ListBullet"/>
        <w:spacing w:after="60"/>
        <w:ind w:left="312" w:hanging="170"/>
      </w:pPr>
      <w:r>
        <w:rPr>
          <w:rFonts w:ascii="Aptos" w:hAnsi="Aptos"/>
          <w:color w:val="20262B"/>
          <w:sz w:val="20"/>
        </w:rPr>
        <w:t>Fluxos críticos executáveis somente por teclado, com ordem de foco lógica e indicador de foco perceptível.</w:t>
      </w:r>
    </w:p>
    <w:p>
      <w:pPr>
        <w:pStyle w:val="ListBullet"/>
        <w:spacing w:after="60"/>
        <w:ind w:left="312" w:hanging="170"/>
      </w:pPr>
      <w:r>
        <w:rPr>
          <w:rFonts w:ascii="Aptos" w:hAnsi="Aptos"/>
          <w:color w:val="20262B"/>
          <w:sz w:val="20"/>
        </w:rPr>
        <w:t>Modais com nome acessível, foco gerenciado, navegação contida e retorno ao acionador após o fechamento.</w:t>
      </w:r>
    </w:p>
    <w:p>
      <w:pPr>
        <w:pStyle w:val="ListBullet"/>
        <w:spacing w:after="60"/>
        <w:ind w:left="312" w:hanging="170"/>
      </w:pPr>
      <w:r>
        <w:rPr>
          <w:rFonts w:ascii="Aptos" w:hAnsi="Aptos"/>
          <w:color w:val="20262B"/>
          <w:sz w:val="20"/>
        </w:rPr>
        <w:t>Estrutura semântica, rótulos, nomes, funções e estados compreensíveis por leitor de tela.</w:t>
      </w:r>
    </w:p>
    <w:p>
      <w:pPr>
        <w:pStyle w:val="ListBullet"/>
        <w:spacing w:after="60"/>
        <w:ind w:left="312" w:hanging="170"/>
      </w:pPr>
      <w:r>
        <w:rPr>
          <w:rFonts w:ascii="Aptos" w:hAnsi="Aptos"/>
          <w:color w:val="20262B"/>
          <w:sz w:val="20"/>
        </w:rPr>
        <w:t>Formulários com instruções e erros associados aos campos; atualizações importantes anunciadas sem depender apenas da visão.</w:t>
      </w:r>
    </w:p>
    <w:p>
      <w:pPr>
        <w:pStyle w:val="ListBullet"/>
        <w:spacing w:after="60"/>
        <w:ind w:left="312" w:hanging="170"/>
      </w:pPr>
      <w:r>
        <w:rPr>
          <w:rFonts w:ascii="Aptos" w:hAnsi="Aptos"/>
          <w:color w:val="20262B"/>
          <w:sz w:val="20"/>
        </w:rPr>
        <w:t>Contraste, zoom/reflow e alvos de interação avaliados nos fluxos representativos.</w:t>
      </w:r>
    </w:p>
    <w:p>
      <w:pPr>
        <w:pStyle w:val="ListBullet"/>
        <w:spacing w:after="60"/>
        <w:ind w:left="312" w:hanging="170"/>
      </w:pPr>
      <w:r>
        <w:rPr>
          <w:rFonts w:ascii="Aptos" w:hAnsi="Aptos"/>
          <w:color w:val="20262B"/>
          <w:sz w:val="20"/>
        </w:rPr>
        <w:t>Achados automáticos e manuais priorizados, corrigidos ou registrados como limitações; evidências antes/depois organizadas.</w:t>
      </w:r>
    </w:p>
    <w:p>
      <w:pPr>
        <w:pStyle w:val="ListBullet"/>
        <w:spacing w:after="60"/>
        <w:ind w:left="312" w:hanging="170"/>
      </w:pPr>
      <w:r>
        <w:rPr>
          <w:rFonts w:ascii="Aptos" w:hAnsi="Aptos"/>
          <w:color w:val="20262B"/>
          <w:sz w:val="20"/>
        </w:rPr>
        <w:t>Relatório final sem afirmar conformidade integral caso permaneçam critérios não avaliados ou pendências conhecidas.</w:t>
      </w:r>
    </w:p>
    <w:p>
      <w:pPr>
        <w:pStyle w:val="Heading1"/>
        <w:keepNext/>
        <w:keepLines/>
      </w:pPr>
      <w:r>
        <w:t>6. Evidências a organizar durante o projeto</w:t>
      </w:r>
    </w:p>
    <w:p>
      <w:pPr>
        <w:pStyle w:val="ListBullet"/>
        <w:spacing w:after="60"/>
        <w:ind w:left="312" w:hanging="170"/>
      </w:pPr>
      <w:r>
        <w:rPr>
          <w:rFonts w:ascii="Aptos" w:hAnsi="Aptos"/>
          <w:color w:val="20262B"/>
          <w:sz w:val="20"/>
        </w:rPr>
        <w:t>Auditoria inicial, matriz de critérios e backlog priorizado.</w:t>
      </w:r>
    </w:p>
    <w:p>
      <w:pPr>
        <w:pStyle w:val="ListBullet"/>
        <w:spacing w:after="60"/>
        <w:ind w:left="312" w:hanging="170"/>
      </w:pPr>
      <w:r>
        <w:rPr>
          <w:rFonts w:ascii="Aptos" w:hAnsi="Aptos"/>
          <w:color w:val="20262B"/>
          <w:sz w:val="20"/>
        </w:rPr>
        <w:t>Wireframes, protótipo e decisões de design acessível.</w:t>
      </w:r>
    </w:p>
    <w:p>
      <w:pPr>
        <w:pStyle w:val="ListBullet"/>
        <w:spacing w:after="60"/>
        <w:ind w:left="312" w:hanging="170"/>
      </w:pPr>
      <w:r>
        <w:rPr>
          <w:rFonts w:ascii="Aptos" w:hAnsi="Aptos"/>
          <w:color w:val="20262B"/>
          <w:sz w:val="20"/>
        </w:rPr>
        <w:t>Commits, capturas de tela e descrições das correções.</w:t>
      </w:r>
    </w:p>
    <w:p>
      <w:pPr>
        <w:pStyle w:val="ListBullet"/>
        <w:spacing w:after="60"/>
        <w:ind w:left="312" w:hanging="170"/>
      </w:pPr>
      <w:r>
        <w:rPr>
          <w:rFonts w:ascii="Aptos" w:hAnsi="Aptos"/>
          <w:color w:val="20262B"/>
          <w:sz w:val="20"/>
        </w:rPr>
        <w:t>Relatórios de ferramentas automáticas e roteiros de testes manuais.</w:t>
      </w:r>
    </w:p>
    <w:p>
      <w:pPr>
        <w:pStyle w:val="ListBullet"/>
        <w:spacing w:after="60"/>
        <w:ind w:left="312" w:hanging="170"/>
      </w:pPr>
      <w:r>
        <w:rPr>
          <w:rFonts w:ascii="Aptos" w:hAnsi="Aptos"/>
          <w:color w:val="20262B"/>
          <w:sz w:val="20"/>
        </w:rPr>
        <w:t>Registros de testes com NVDA, teclado, zoom e alto contraste.</w:t>
      </w:r>
    </w:p>
    <w:p>
      <w:pPr>
        <w:pStyle w:val="ListBullet"/>
        <w:spacing w:after="60"/>
        <w:ind w:left="312" w:hanging="170"/>
      </w:pPr>
      <w:r>
        <w:rPr>
          <w:rFonts w:ascii="Aptos" w:hAnsi="Aptos"/>
          <w:color w:val="20262B"/>
          <w:sz w:val="20"/>
        </w:rPr>
        <w:t>Registros de orientação, apresentação ao clube e feedback recebido.</w:t>
      </w:r>
    </w:p>
    <w:p>
      <w:pPr>
        <w:pStyle w:val="ListBullet"/>
        <w:spacing w:after="60"/>
        <w:ind w:left="312" w:hanging="170"/>
      </w:pPr>
      <w:r>
        <w:rPr>
          <w:rFonts w:ascii="Aptos" w:hAnsi="Aptos"/>
          <w:color w:val="20262B"/>
          <w:sz w:val="20"/>
        </w:rPr>
        <w:t>Comparativo entre linha de base e versão final, horas realizadas e relatório acadêmico.</w:t>
      </w:r>
    </w:p>
    <w:p>
      <w:pPr>
        <w:pStyle w:val="Heading1"/>
        <w:keepNext/>
        <w:keepLines/>
      </w:pPr>
      <w:r>
        <w:t>7. Referências técnicas</w:t>
      </w:r>
    </w:p>
    <w:p>
      <w:pPr>
        <w:spacing w:after="60"/>
        <w:ind w:left="312" w:hanging="170"/>
      </w:pPr>
      <w:r>
        <w:rPr>
          <w:rFonts w:ascii="Aptos" w:hAnsi="Aptos"/>
          <w:color w:val="20262B"/>
          <w:sz w:val="18"/>
        </w:rPr>
        <w:t>• W3C – Web Content Accessibility Guidelines (WCAG) 2.2: https://www.w3.org/TR/WCAG22/</w:t>
      </w:r>
    </w:p>
    <w:p>
      <w:pPr>
        <w:spacing w:after="60"/>
        <w:ind w:left="312" w:hanging="170"/>
      </w:pPr>
      <w:r>
        <w:rPr>
          <w:rFonts w:ascii="Aptos" w:hAnsi="Aptos"/>
          <w:color w:val="20262B"/>
          <w:sz w:val="18"/>
        </w:rPr>
        <w:t>• Governo Digital – Modelo de Acessibilidade em Governo Eletrônico (eMAG 3.1): https://www.gov.br/governodigitallogin/pt-br/acessibilidade-e-usuario/acessibilidade-digital/modelo-de-acessibilidade</w:t>
      </w:r>
    </w:p>
    <w:p>
      <w:pPr>
        <w:spacing w:after="60"/>
        <w:ind w:left="312" w:hanging="170"/>
      </w:pPr>
      <w:r>
        <w:rPr>
          <w:rFonts w:ascii="Aptos" w:hAnsi="Aptos"/>
          <w:color w:val="20262B"/>
          <w:sz w:val="18"/>
        </w:rPr>
        <w:t>• W3C WAI – ARIA Authoring Practices Guide: https://www.w3.org/WAI/ARIA/apg/patterns/</w:t>
      </w:r>
    </w:p>
    <w:p>
      <w:pPr>
        <w:spacing w:after="60"/>
        <w:ind w:left="312" w:hanging="170"/>
      </w:pPr>
      <w:r>
        <w:rPr>
          <w:rFonts w:ascii="Aptos" w:hAnsi="Aptos"/>
          <w:color w:val="20262B"/>
          <w:sz w:val="18"/>
        </w:rPr>
        <w:t>• W3C WAI – Evaluating Web Accessibility: https://www.w3.org/WAI/test-evaluate/</w:t>
      </w:r>
    </w:p>
    <w:p>
      <w:pPr>
        <w:spacing w:after="60"/>
        <w:ind w:left="312" w:hanging="170"/>
      </w:pPr>
      <w:r>
        <w:rPr>
          <w:rFonts w:ascii="Aptos" w:hAnsi="Aptos"/>
          <w:color w:val="20262B"/>
          <w:sz w:val="18"/>
        </w:rPr>
        <w:t>• Deque – axe-core: https://github.com/dequelabs/axe-core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964" w:right="964" w:bottom="907" w:left="964" w:header="397" w:footer="397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ptos" w:hAnsi="Aptos"/>
        <w:color w:val="5B6770"/>
        <w:sz w:val="16"/>
      </w:rPr>
      <w:t xml:space="preserve">Cronograma de Acessibilidade e Tecnologias Assistivas  •  Página </w:t>
    </w:r>
    <w:fldSimple w:instr="PAGE"/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Aptos" w:hAnsi="Aptos"/>
        <w:color w:val="246B6B"/>
        <w:sz w:val="16"/>
      </w:rPr>
      <w:t>LendoJuntos  |  Projeto de Extensão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  <w:updateFields w:val="true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00" w:line="259" w:lineRule="auto"/>
    </w:pPr>
    <w:rPr>
      <w:rFonts w:ascii="Aptos" w:hAnsi="Aptos" w:eastAsia="Aptos"/>
      <w:color w:val="20262B"/>
      <w:sz w:val="20"/>
      <w:lang w:val="pt-BR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80" w:after="120"/>
      <w:outlineLvl w:val="0"/>
    </w:pPr>
    <w:rPr>
      <w:rFonts w:asciiTheme="majorHAnsi" w:eastAsiaTheme="majorEastAsia" w:hAnsiTheme="majorHAnsi" w:cstheme="majorBidi" w:ascii="Aptos Display" w:hAnsi="Aptos Display" w:eastAsia="Aptos Display"/>
      <w:b/>
      <w:bCs/>
      <w:color w:val="17324D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80"/>
      <w:outlineLvl w:val="1"/>
    </w:pPr>
    <w:rPr>
      <w:rFonts w:asciiTheme="majorHAnsi" w:eastAsiaTheme="majorEastAsia" w:hAnsiTheme="majorHAnsi" w:cstheme="majorBidi" w:ascii="Aptos Display" w:hAnsi="Aptos Display" w:eastAsia="Aptos Display"/>
      <w:b/>
      <w:bCs/>
      <w:color w:val="246B6B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40" w:after="60"/>
      <w:outlineLvl w:val="2"/>
    </w:pPr>
    <w:rPr>
      <w:rFonts w:asciiTheme="majorHAnsi" w:eastAsiaTheme="majorEastAsia" w:hAnsiTheme="majorHAnsi" w:cstheme="majorBidi" w:ascii="Aptos" w:hAnsi="Aptos" w:eastAsia="Aptos"/>
      <w:b/>
      <w:bCs/>
      <w:color w:val="17324D"/>
      <w:sz w:val="2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120" w:line="240" w:lineRule="auto" w:before="0"/>
      <w:contextualSpacing/>
    </w:pPr>
    <w:rPr>
      <w:rFonts w:asciiTheme="majorHAnsi" w:eastAsiaTheme="majorEastAsia" w:hAnsiTheme="majorHAnsi" w:cstheme="majorBidi" w:ascii="Aptos Display" w:hAnsi="Aptos Display" w:eastAsia="Aptos Display"/>
      <w:b/>
      <w:color w:val="17324D"/>
      <w:spacing w:val="5"/>
      <w:kern w:val="28"/>
      <w:sz w:val="4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spacing w:before="0" w:after="200"/>
    </w:pPr>
    <w:rPr>
      <w:rFonts w:asciiTheme="majorHAnsi" w:eastAsiaTheme="majorEastAsia" w:hAnsiTheme="majorHAnsi" w:cstheme="majorBidi" w:ascii="Aptos" w:hAnsi="Aptos" w:eastAsia="Aptos"/>
      <w:b w:val="0"/>
      <w:i/>
      <w:iCs/>
      <w:color w:val="246B6B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Cronograma de Acessibilidade e Tecnologias Assistivas – LendoJuntos</dc:title>
  <dc:subject>Projeto de extensão com 60 horas planejadas, de 24/08/2026 a 29/11/2026</dc:subject>
  <dc:creator>Leonardo Ciarlini Guilhon</dc:creator>
  <cp:keywords>acessibilidade, tecnologias assistivas, WCAG 2.2, eMAG, LendoJuntos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