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Acessibilidade</w:t>
        <w:br/>
        <w:t>e Tecnologias Assistivas</w:t>
      </w:r>
    </w:p>
    <w:p>
      <w:pPr>
        <w:pStyle w:val="Subtitle"/>
      </w:pPr>
      <w:r>
        <w:t>Projeto de Extensão – LendoJuntos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Aluno</w:t>
            </w:r>
          </w:p>
        </w:tc>
        <w:tc>
          <w:tcPr>
            <w:tcW w:type="dxa" w:w="74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8"/>
              </w:rPr>
              <w:t>Leonardo Ciarlini Guilhon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Período</w:t>
            </w:r>
          </w:p>
        </w:tc>
        <w:tc>
          <w:tcPr>
            <w:tcW w:type="dxa" w:w="74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24/08/2026 a 29/11/2026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Carga horária</w:t>
            </w:r>
          </w:p>
        </w:tc>
        <w:tc>
          <w:tcPr>
            <w:tcW w:type="dxa" w:w="74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8"/>
              </w:rPr>
              <w:t>60 horas planejadas (mínimo exigido: 59 horas)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Projeto</w:t>
            </w:r>
          </w:p>
        </w:tc>
        <w:tc>
          <w:tcPr>
            <w:tcW w:type="dxa" w:w="74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8"/>
              </w:rPr>
              <w:t>LendoJuntos – plataforma web para organização de clubes do livro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Objetivo</w:t>
            </w:r>
          </w:p>
        </w:tc>
        <w:tc>
          <w:tcPr>
            <w:tcW w:type="dxa" w:w="74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8"/>
              </w:rPr>
              <w:t>Reduzir barreiras de acesso nos fluxos centrais da plataforma e melhorar a compatibilidade com tecnologias assistivas.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Referências</w:t>
            </w:r>
          </w:p>
        </w:tc>
        <w:tc>
          <w:tcPr>
            <w:tcW w:type="dxa" w:w="74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8"/>
              </w:rPr>
              <w:t>WCAG 2.2 nível AA, eMAG 3.1 e padrões WAI-ARIA aplicáveis</w:t>
            </w:r>
          </w:p>
        </w:tc>
      </w:tr>
    </w:tbl>
    <w:p>
      <w:pPr>
        <w:spacing w:before="160" w:after="0"/>
      </w:pPr>
      <w:r>
        <w:rPr>
          <w:i/>
          <w:color w:val="4F5A61"/>
          <w:sz w:val="18"/>
        </w:rPr>
        <w:t>Premissa: as horas abaixo são propostas. Durante a execução, cada atividade deverá ser registrada com sua duração real e respectiva evidência; a coluna “Horas Aceitas” da planilha permanece reservada ao professor.</w:t>
      </w:r>
    </w:p>
    <w:p>
      <w:pPr>
        <w:pStyle w:val="Heading1"/>
        <w:keepNext/>
        <w:keepLines/>
      </w:pPr>
      <w:r>
        <w:t>1. Escopo da intervenção</w:t>
      </w:r>
    </w:p>
    <w:p>
      <w:r>
        <w:t>A intervenção dará continuidade ao MVP já desenvolvido, concentrando-se na acessibilidade do frontend React e nos ajustes de comportamento necessários para que autenticação, dashboard, clubes, livros, encontros, comentários e perfil possam ser utilizados com mais autonomia por pessoas com deficiência. O backend será alterado apenas quando necessário para oferecer mensagens e estados compreensíveis na interface.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Público beneficiado: participantes de clubes do livro, incluindo pessoas cegas ou com baixa visão, pessoas com limitações motoras, cognitivas ou de leitura e pessoas que utilizam teclado, ampliação ou alto contraste.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Tecnologias assistivas e modos de acesso considerados: leitor de tela NVDA, navegação somente por teclado, zoom do navegador, alto contraste do sistema e viewport reduzido.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Meta técnica: buscar atendimento aos critérios aplicáveis da WCAG 2.2 nos níveis A e AA, sem declarar conformidade integral antes da avaliação final.</w:t>
      </w:r>
    </w:p>
    <w:p>
      <w:pPr>
        <w:pStyle w:val="Heading1"/>
        <w:keepNext/>
        <w:keepLines/>
      </w:pPr>
      <w:r>
        <w:t>2. Distribuição das 60 horas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5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9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principal</w:t>
            </w:r>
          </w:p>
        </w:tc>
      </w:tr>
      <w:tr>
        <w:trPr>
          <w:cantSplit/>
        </w:trPr>
        <w:tc>
          <w:tcPr>
            <w:tcW w:type="dxa" w:w="35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1. Diagnóstico e fundamentação</w:t>
            </w:r>
          </w:p>
        </w:tc>
        <w:tc>
          <w:tcPr>
            <w:tcW w:type="dxa" w:w="255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24/08 a 13/09</w:t>
            </w:r>
          </w:p>
        </w:tc>
        <w:tc>
          <w:tcPr>
            <w:tcW w:type="dxa" w:w="96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12 h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Linha de base e backlog priorizado</w:t>
            </w:r>
          </w:p>
        </w:tc>
      </w:tr>
      <w:tr>
        <w:trPr>
          <w:cantSplit/>
        </w:trPr>
        <w:tc>
          <w:tcPr>
            <w:tcW w:type="dxa" w:w="3572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2. Desenho acessível e metodologia</w:t>
            </w:r>
          </w:p>
        </w:tc>
        <w:tc>
          <w:tcPr>
            <w:tcW w:type="dxa" w:w="255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14/09 a 04/10</w:t>
            </w:r>
          </w:p>
        </w:tc>
        <w:tc>
          <w:tcPr>
            <w:tcW w:type="dxa" w:w="964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12 h</w:t>
            </w:r>
          </w:p>
        </w:tc>
        <w:tc>
          <w:tcPr>
            <w:tcW w:type="dxa" w:w="28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Plano de testes e protótipo acessível</w:t>
            </w:r>
          </w:p>
        </w:tc>
      </w:tr>
      <w:tr>
        <w:trPr>
          <w:cantSplit/>
        </w:trPr>
        <w:tc>
          <w:tcPr>
            <w:tcW w:type="dxa" w:w="35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3. Implementação da intervenção</w:t>
            </w:r>
          </w:p>
        </w:tc>
        <w:tc>
          <w:tcPr>
            <w:tcW w:type="dxa" w:w="255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05/10 a 08/11</w:t>
            </w:r>
          </w:p>
        </w:tc>
        <w:tc>
          <w:tcPr>
            <w:tcW w:type="dxa" w:w="96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24 h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Fluxos centrais adequados e testáveis</w:t>
            </w:r>
          </w:p>
        </w:tc>
      </w:tr>
      <w:tr>
        <w:trPr>
          <w:cantSplit/>
        </w:trPr>
        <w:tc>
          <w:tcPr>
            <w:tcW w:type="dxa" w:w="3572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4. Validação, divulgação e entrega</w:t>
            </w:r>
          </w:p>
        </w:tc>
        <w:tc>
          <w:tcPr>
            <w:tcW w:type="dxa" w:w="255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09/11 a 29/11</w:t>
            </w:r>
          </w:p>
        </w:tc>
        <w:tc>
          <w:tcPr>
            <w:tcW w:type="dxa" w:w="964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12 h</w:t>
            </w:r>
          </w:p>
        </w:tc>
        <w:tc>
          <w:tcPr>
            <w:tcW w:type="dxa" w:w="28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20262B"/>
                <w:sz w:val="17"/>
              </w:rPr>
              <w:t>Comparativo final, evidências e relatório</w:t>
            </w:r>
          </w:p>
        </w:tc>
      </w:tr>
      <w:tr>
        <w:trPr>
          <w:cantSplit/>
        </w:trPr>
        <w:tc>
          <w:tcPr>
            <w:tcW w:type="dxa" w:w="3572"/>
            <w:shd w:fill="E8F3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Total</w:t>
            </w:r>
          </w:p>
        </w:tc>
        <w:tc>
          <w:tcPr>
            <w:tcW w:type="dxa" w:w="2551"/>
            <w:shd w:fill="E8F3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7324D"/>
                <w:sz w:val="17"/>
              </w:rPr>
              <w:t>14 semanas</w:t>
            </w:r>
          </w:p>
        </w:tc>
        <w:tc>
          <w:tcPr>
            <w:tcW w:type="dxa" w:w="964"/>
            <w:shd w:fill="E8F3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7324D"/>
                <w:sz w:val="17"/>
              </w:rPr>
              <w:t>60 h</w:t>
            </w:r>
          </w:p>
        </w:tc>
        <w:tc>
          <w:tcPr>
            <w:tcW w:type="dxa" w:w="2835"/>
            <w:shd w:fill="E8F3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Margem de 1 h sobre o mínimo de 59 h</w:t>
            </w:r>
          </w:p>
        </w:tc>
      </w:tr>
    </w:tbl>
    <w:p>
      <w:pPr>
        <w:pStyle w:val="Heading1"/>
        <w:keepNext/>
        <w:keepLines/>
      </w:pPr>
      <w:r>
        <w:t>3. Cronograma semanal</w:t>
      </w:r>
    </w:p>
    <w:p>
      <w:pPr>
        <w:pStyle w:val="Heading2"/>
        <w:keepNext/>
        <w:keepLines/>
      </w:pPr>
      <w:r>
        <w:t>Fase 1 – Diagnóstico e fundamentação</w:t>
      </w:r>
    </w:p>
    <w:p>
      <w:pPr>
        <w:keepNext/>
        <w:keepLines/>
        <w:spacing w:after="100"/>
      </w:pPr>
      <w:r>
        <w:rPr>
          <w:rFonts w:ascii="Aptos" w:hAnsi="Aptos"/>
          <w:b/>
          <w:color w:val="246B6B"/>
          <w:sz w:val="19"/>
        </w:rPr>
        <w:t>Período: 24/08/2026 a 13/09/2026  •  Carga da fase: 12 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2494"/>
        <w:gridCol w:w="2494"/>
        <w:gridCol w:w="2494"/>
        <w:gridCol w:w="2494"/>
      </w:tblGrid>
      <w:tr>
        <w:trPr>
          <w:trHeight w:val="454" w:hRule="atLeast"/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Semana e período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Atividades planejadas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Entregável / evidência</w:t>
            </w:r>
          </w:p>
        </w:tc>
        <w:tc>
          <w:tcPr>
            <w:tcW w:type="dxa" w:w="7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Horas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1</w:t>
              <w:br/>
              <w:t>24/08–30/08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Alinhar a continuidade do LendoJuntos como intervenção; delimitar público, barreiras e impacto social; estudar acessibilidade digital e WCAG 2.2 A/AA.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Termo de escopo, fichamento e matriz WCAG v1.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2</w:t>
              <w:br/>
              <w:t>31/08–06/09</w:t>
            </w:r>
          </w:p>
        </w:tc>
        <w:tc>
          <w:tcPr>
            <w:tcW w:type="dxa" w:w="45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Estudar eMAG e tecnologias assistivas; experimentar teclado, NVDA, zoom e alto contraste; inventariar telas e fluxos críticos.</w:t>
            </w:r>
          </w:p>
        </w:tc>
        <w:tc>
          <w:tcPr>
            <w:tcW w:type="dxa" w:w="28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Checklist, notas dos recursos assistivos e inventário.</w:t>
            </w:r>
          </w:p>
        </w:tc>
        <w:tc>
          <w:tcPr>
            <w:tcW w:type="dxa" w:w="737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3</w:t>
              <w:br/>
              <w:t>07/09–13/09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Auditar a linha de base e consolidar o escopo, os critérios e o backlog priorizado de acessibilidade.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Relatório inicial e backlog priorizado.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Fase 2 – Desenho acessível e metodologia</w:t>
      </w:r>
    </w:p>
    <w:p>
      <w:pPr>
        <w:keepNext/>
        <w:keepLines/>
        <w:spacing w:after="100"/>
      </w:pPr>
      <w:r>
        <w:rPr>
          <w:rFonts w:ascii="Aptos" w:hAnsi="Aptos"/>
          <w:b/>
          <w:color w:val="246B6B"/>
          <w:sz w:val="19"/>
        </w:rPr>
        <w:t>Período: 14/09/2026 a 04/10/2026  •  Carga da fase: 12 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2494"/>
        <w:gridCol w:w="2494"/>
        <w:gridCol w:w="2494"/>
        <w:gridCol w:w="2494"/>
      </w:tblGrid>
      <w:tr>
        <w:trPr>
          <w:trHeight w:val="454" w:hRule="atLeast"/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Semana e período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Atividades planejadas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Entregável / evidência</w:t>
            </w:r>
          </w:p>
        </w:tc>
        <w:tc>
          <w:tcPr>
            <w:tcW w:type="dxa" w:w="7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Horas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4</w:t>
              <w:br/>
              <w:t>14/09–20/09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Selecionar padrões e ferramentas; definir fluxos de teste, severidade, critérios de aceite e ciclo diagnosticar–corrigir–retestar.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Plano técnico, metodologia e matriz de ferramentas.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5</w:t>
              <w:br/>
              <w:t>21/09–27/09</w:t>
            </w:r>
          </w:p>
        </w:tc>
        <w:tc>
          <w:tcPr>
            <w:tcW w:type="dxa" w:w="45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Criar wireframes de baixa fidelidade para landmarks, link para conteúdo, títulos, ordem de foco, formulários, modais e cartões.</w:t>
            </w:r>
          </w:p>
        </w:tc>
        <w:tc>
          <w:tcPr>
            <w:tcW w:type="dxa" w:w="28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Wireframe acessível e fluxos anotados.</w:t>
            </w:r>
          </w:p>
        </w:tc>
        <w:tc>
          <w:tcPr>
            <w:tcW w:type="dxa" w:w="737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6</w:t>
              <w:br/>
              <w:t>28/09–04/10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Concluir protótipo de alta fidelidade com contraste, foco visível, tipografia, zoom/reflow e estados que não dependam apenas de cor.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Protótipo acessível, guia visual e especificações.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Fase 3 – Implementação da intervenção</w:t>
      </w:r>
    </w:p>
    <w:p>
      <w:pPr>
        <w:keepNext/>
        <w:keepLines/>
        <w:spacing w:after="100"/>
      </w:pPr>
      <w:r>
        <w:rPr>
          <w:rFonts w:ascii="Aptos" w:hAnsi="Aptos"/>
          <w:b/>
          <w:color w:val="246B6B"/>
          <w:sz w:val="19"/>
        </w:rPr>
        <w:t>Período: 05/10/2026 a 08/11/2026  •  Carga da fase: 24 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2494"/>
        <w:gridCol w:w="2494"/>
        <w:gridCol w:w="2494"/>
        <w:gridCol w:w="2494"/>
      </w:tblGrid>
      <w:tr>
        <w:trPr>
          <w:trHeight w:val="454" w:hRule="atLeast"/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Semana e período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Atividades planejadas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Entregável / evidência</w:t>
            </w:r>
          </w:p>
        </w:tc>
        <w:tc>
          <w:tcPr>
            <w:tcW w:type="dxa" w:w="7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Horas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7</w:t>
              <w:br/>
              <w:t>05/10–11/10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Revisar o backlog priorizado e implementar fundações globais: landmarks, link para conteúdo, foco visível, contraste e preferência de movimento.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Commits, checklist de implementação e comparativo visual.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5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8</w:t>
              <w:br/>
              <w:t>12/10–18/10</w:t>
            </w:r>
          </w:p>
        </w:tc>
        <w:tc>
          <w:tcPr>
            <w:tcW w:type="dxa" w:w="45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Adequar modal e menu de ações: nome acessível, foco inicial, contenção e retorno de foco, teclado e tecla Escape.</w:t>
            </w:r>
          </w:p>
        </w:tc>
        <w:tc>
          <w:tcPr>
            <w:tcW w:type="dxa" w:w="28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Commits e roteiro de teste de teclado.</w:t>
            </w:r>
          </w:p>
        </w:tc>
        <w:tc>
          <w:tcPr>
            <w:tcW w:type="dxa" w:w="737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5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9</w:t>
              <w:br/>
              <w:t>19/10–25/10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Adequar login, cadastro e perfil: rótulos, instruções, autocomplete, erros associados aos campos e anúncios de status.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Commits, capturas e testes de formulário.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5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10</w:t>
              <w:br/>
              <w:t>26/10–01/11</w:t>
            </w:r>
          </w:p>
        </w:tc>
        <w:tc>
          <w:tcPr>
            <w:tcW w:type="dxa" w:w="45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Corrigir semântica e navegação por teclado no dashboard, clubes, livros e encontros, eliminando padrões de cartões que simulam links.</w:t>
            </w:r>
          </w:p>
        </w:tc>
        <w:tc>
          <w:tcPr>
            <w:tcW w:type="dxa" w:w="28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Commits e checklist dos fluxos críticos.</w:t>
            </w:r>
          </w:p>
        </w:tc>
        <w:tc>
          <w:tcPr>
            <w:tcW w:type="dxa" w:w="737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5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11</w:t>
              <w:br/>
              <w:t>02/11–08/11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Aprimorar feedback dinâmico e ajustar contraste, zoom/reflow, alvos e movimento; incorporar verificações automatizadas nos fluxos representativos.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Registros com NVDA, relatórios axe/Lighthouse e commits.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Fase 4 – Validação, divulgação e entrega</w:t>
      </w:r>
    </w:p>
    <w:p>
      <w:pPr>
        <w:keepNext/>
        <w:keepLines/>
        <w:spacing w:after="100"/>
      </w:pPr>
      <w:r>
        <w:rPr>
          <w:rFonts w:ascii="Aptos" w:hAnsi="Aptos"/>
          <w:b/>
          <w:color w:val="246B6B"/>
          <w:sz w:val="19"/>
        </w:rPr>
        <w:t>Período: 09/11/2026 a 29/11/2026  •  Carga da fase: 12 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2494"/>
        <w:gridCol w:w="2494"/>
        <w:gridCol w:w="2494"/>
        <w:gridCol w:w="2494"/>
      </w:tblGrid>
      <w:tr>
        <w:trPr>
          <w:trHeight w:val="454" w:hRule="atLeast"/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Semana e período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Atividades planejadas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Entregável / evidência</w:t>
            </w:r>
          </w:p>
        </w:tc>
        <w:tc>
          <w:tcPr>
            <w:tcW w:type="dxa" w:w="7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Horas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12</w:t>
              <w:br/>
              <w:t>09/11–15/11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Preparar guia de recursos acessíveis, apresentar a versão ao clube e comparar os testes automáticos com a linha de base.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Guia, feedback do público e relatórios comparativos.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13</w:t>
              <w:br/>
              <w:t>16/11–22/11</w:t>
            </w:r>
          </w:p>
        </w:tc>
        <w:tc>
          <w:tcPr>
            <w:tcW w:type="dxa" w:w="45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Testar manualmente com teclado, NVDA, zoom e alto contraste; corrigir barreiras prioritárias e documentar limitações remanescentes.</w:t>
            </w:r>
          </w:p>
        </w:tc>
        <w:tc>
          <w:tcPr>
            <w:tcW w:type="dxa" w:w="2835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Roteiros, evidências e backlog residual.</w:t>
            </w:r>
          </w:p>
        </w:tc>
        <w:tc>
          <w:tcPr>
            <w:tcW w:type="dxa" w:w="737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  <w:tr>
        <w:trPr>
          <w:cantSplit/>
          <w:trHeight w:val="709" w:hRule="atLeast"/>
        </w:trPr>
        <w:tc>
          <w:tcPr>
            <w:tcW w:type="dxa" w:w="170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Semana 14</w:t>
              <w:br/>
              <w:t>23/11–29/11</w:t>
            </w:r>
          </w:p>
        </w:tc>
        <w:tc>
          <w:tcPr>
            <w:tcW w:type="dxa" w:w="45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Revisar os resultados da intervenção; concluir relatório, organizar evidências, conferir as horas realizadas e preparar a entrega final.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20262B"/>
                <w:sz w:val="17"/>
              </w:rPr>
              <w:t>Relatório final, checklist de revisão e pacote de evidências.</w:t>
            </w:r>
          </w:p>
        </w:tc>
        <w:tc>
          <w:tcPr>
            <w:tcW w:type="dxa" w:w="7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246B6B"/>
                <w:sz w:val="18"/>
              </w:rPr>
              <w:t>4 h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Matriz mínima de validação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 / recurso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Cobertura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24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Somente teclado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Login, cadastro, dashboard, clubes, livros, encontros, perfil, menus e modais.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Roteiro executado e registro de bloqueios.</w:t>
            </w:r>
          </w:p>
        </w:tc>
      </w:tr>
      <w:tr>
        <w:trPr>
          <w:cantSplit/>
        </w:trPr>
        <w:tc>
          <w:tcPr>
            <w:tcW w:type="dxa" w:w="2324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NVDA + navegador</w:t>
            </w:r>
          </w:p>
        </w:tc>
        <w:tc>
          <w:tcPr>
            <w:tcW w:type="dxa" w:w="4706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Landmarks, títulos, nomes/estados, formulários, mensagens dinâmicas e diálogos.</w:t>
            </w:r>
          </w:p>
        </w:tc>
        <w:tc>
          <w:tcPr>
            <w:tcW w:type="dxa" w:w="289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Notas de leitura e capturas quando aplicável.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Zoom e reflow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Zoom em 200% e 400%, viewport estreito, conteúdo sem perda e sem rolagem bidimensional indevida.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Capturas comparativas por fluxo.</w:t>
            </w:r>
          </w:p>
        </w:tc>
      </w:tr>
      <w:tr>
        <w:trPr>
          <w:cantSplit/>
        </w:trPr>
        <w:tc>
          <w:tcPr>
            <w:tcW w:type="dxa" w:w="2324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Alto contraste e cores</w:t>
            </w:r>
          </w:p>
        </w:tc>
        <w:tc>
          <w:tcPr>
            <w:tcW w:type="dxa" w:w="4706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Contraste de texto/controles, foco visível e informações que não dependam apenas de cor.</w:t>
            </w:r>
          </w:p>
        </w:tc>
        <w:tc>
          <w:tcPr>
            <w:tcW w:type="dxa" w:w="2891"/>
            <w:shd w:fill="F3F5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Medições e checklist visual.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axe-core / Lighthouse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Páginas e estados representativos, incluindo conteúdo autenticado e modais abertos.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262B"/>
                <w:sz w:val="17"/>
              </w:rPr>
              <w:t>Relatórios antes/depois; revisão manual dos achados.</w:t>
            </w:r>
          </w:p>
        </w:tc>
      </w:tr>
    </w:tbl>
    <w:p>
      <w:pPr>
        <w:pStyle w:val="Heading1"/>
        <w:keepNext/>
        <w:keepLines/>
      </w:pPr>
      <w:r>
        <w:t>5. Critérios de conclusão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Fluxos críticos executáveis somente por teclado, com ordem de foco lógica e indicador de foco perceptível.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Modais com nome acessível, foco gerenciado, navegação contida e retorno ao acionador após o fechamento.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Estrutura semântica, rótulos, nomes, funções e estados compreensíveis por leitor de tela.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Formulários com instruções e erros associados aos campos; atualizações importantes anunciadas sem depender apenas da visão.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Contraste, zoom/reflow e alvos de interação avaliados nos fluxos representativos.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Achados automáticos e manuais priorizados, corrigidos ou registrados como limitações; evidências antes/depois organizadas.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Relatório final sem afirmar conformidade integral caso permaneçam critérios não avaliados ou pendências conhecidas.</w:t>
      </w:r>
    </w:p>
    <w:p>
      <w:pPr>
        <w:pStyle w:val="Heading1"/>
        <w:keepNext/>
        <w:keepLines/>
      </w:pPr>
      <w:r>
        <w:t>6. Evidências a organizar durante o projeto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Auditoria inicial, matriz de critérios e backlog priorizado.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Wireframes, protótipo e decisões de design acessível.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Commits, capturas de tela e descrições das correções.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Relatórios de ferramentas automáticas e roteiros de testes manuais.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Registros de testes com NVDA, teclado, zoom e alto contraste.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Registro da apresentação ao clube e feedback recebido.</w:t>
      </w:r>
    </w:p>
    <w:p>
      <w:pPr>
        <w:pStyle w:val="ListBullet"/>
        <w:spacing w:after="60"/>
        <w:ind w:left="312" w:hanging="170"/>
      </w:pPr>
      <w:r>
        <w:rPr>
          <w:rFonts w:ascii="Aptos" w:hAnsi="Aptos"/>
          <w:color w:val="20262B"/>
          <w:sz w:val="20"/>
        </w:rPr>
        <w:t>Comparativo entre linha de base e versão final, horas realizadas e relatório acadêmico.</w:t>
      </w:r>
    </w:p>
    <w:p>
      <w:pPr>
        <w:pStyle w:val="Heading1"/>
        <w:keepNext/>
        <w:keepLines/>
      </w:pPr>
      <w:r>
        <w:t>7. Referências técnicas</w:t>
      </w:r>
    </w:p>
    <w:p>
      <w:pPr>
        <w:spacing w:after="60"/>
        <w:ind w:left="312" w:hanging="170"/>
      </w:pPr>
      <w:r>
        <w:rPr>
          <w:rFonts w:ascii="Aptos" w:hAnsi="Aptos"/>
          <w:color w:val="20262B"/>
          <w:sz w:val="18"/>
        </w:rPr>
        <w:t>• W3C – Web Content Accessibility Guidelines (WCAG) 2.2: https://www.w3.org/TR/WCAG22/</w:t>
      </w:r>
    </w:p>
    <w:p>
      <w:pPr>
        <w:spacing w:after="60"/>
        <w:ind w:left="312" w:hanging="170"/>
      </w:pPr>
      <w:r>
        <w:rPr>
          <w:rFonts w:ascii="Aptos" w:hAnsi="Aptos"/>
          <w:color w:val="20262B"/>
          <w:sz w:val="18"/>
        </w:rPr>
        <w:t>• Governo Digital – Modelo de Acessibilidade em Governo Eletrônico (eMAG 3.1): https://www.gov.br/governodigitallogin/pt-br/acessibilidade-e-usuario/acessibilidade-digital/modelo-de-acessibilidade</w:t>
      </w:r>
    </w:p>
    <w:p>
      <w:pPr>
        <w:spacing w:after="60"/>
        <w:ind w:left="312" w:hanging="170"/>
      </w:pPr>
      <w:r>
        <w:rPr>
          <w:rFonts w:ascii="Aptos" w:hAnsi="Aptos"/>
          <w:color w:val="20262B"/>
          <w:sz w:val="18"/>
        </w:rPr>
        <w:t>• W3C WAI – ARIA Authoring Practices Guide: https://www.w3.org/WAI/ARIA/apg/patterns/</w:t>
      </w:r>
    </w:p>
    <w:p>
      <w:pPr>
        <w:spacing w:after="60"/>
        <w:ind w:left="312" w:hanging="170"/>
      </w:pPr>
      <w:r>
        <w:rPr>
          <w:rFonts w:ascii="Aptos" w:hAnsi="Aptos"/>
          <w:color w:val="20262B"/>
          <w:sz w:val="18"/>
        </w:rPr>
        <w:t>• W3C WAI – Evaluating Web Accessibility: https://www.w3.org/WAI/test-evaluate/</w:t>
      </w:r>
    </w:p>
    <w:p>
      <w:pPr>
        <w:spacing w:after="60"/>
        <w:ind w:left="312" w:hanging="170"/>
      </w:pPr>
      <w:r>
        <w:rPr>
          <w:rFonts w:ascii="Aptos" w:hAnsi="Aptos"/>
          <w:color w:val="20262B"/>
          <w:sz w:val="18"/>
        </w:rPr>
        <w:t>• Deque – axe-core: https://github.com/dequelabs/axe-core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 xml:space="preserve">Cronograma de Acessibilidade e Tecnologias Assistivas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46B6B"/>
        <w:sz w:val="16"/>
      </w:rPr>
      <w:t>LendoJuntos  |  Projeto de Extensão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6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6B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 w:val="0"/>
      <w:i/>
      <w:iCs/>
      <w:color w:val="246B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Acessibilidade e Tecnologias Assistivas – LendoJuntos</dc:title>
  <dc:subject>Projeto de extensão com 60 horas planejadas, de 24/08/2026 a 29/11/2026</dc:subject>
  <dc:creator>Leonardo Ciarlini Guilhon</dc:creator>
  <cp:keywords>acessibilidade, tecnologias assistivas, WCAG 2.2, eMAG, LendoJuntos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