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CDC0C" w14:textId="46B2EDC6" w:rsidR="00605DB4" w:rsidRPr="00605DB4" w:rsidRDefault="00605DB4" w:rsidP="00605DB4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t>** 1 **</w:t>
      </w:r>
    </w:p>
    <w:p w14:paraId="1F9AF9BB" w14:textId="57F719FD" w:rsidR="00457B1A" w:rsidRDefault="004E56A2">
      <w:r>
        <w:t>BEN – BALANÇO ENERGÉTICO NACIONAL:</w:t>
      </w:r>
    </w:p>
    <w:p w14:paraId="5D051263" w14:textId="1C779433" w:rsidR="004E56A2" w:rsidRDefault="004E56A2">
      <w:r>
        <w:t xml:space="preserve">Fonte: </w:t>
      </w:r>
      <w:hyperlink r:id="rId6" w:history="1">
        <w:r w:rsidRPr="00FE2818">
          <w:rPr>
            <w:rStyle w:val="Hyperlink"/>
          </w:rPr>
          <w:t>https://www.epe.gov.br/pt/publicacoes-dados-abertos/publicacoes/balanco-energetico-nacional-2022</w:t>
        </w:r>
      </w:hyperlink>
    </w:p>
    <w:p w14:paraId="7D3AAC1E" w14:textId="01825D10" w:rsidR="004E56A2" w:rsidRDefault="004E56A2">
      <w:r>
        <w:t xml:space="preserve">Relatório 2022 – dados de 2021: </w:t>
      </w:r>
      <w:hyperlink r:id="rId7" w:history="1">
        <w:r w:rsidRPr="00FE2818">
          <w:rPr>
            <w:rStyle w:val="Hyperlink"/>
          </w:rPr>
          <w:t>https://www.epe.gov.br/sites-pt/publicacoes-dados-abertos/publicacoes/PublicacoesArquivos/publicacao-675/topico-638/BEN2022.pdf</w:t>
        </w:r>
      </w:hyperlink>
    </w:p>
    <w:p w14:paraId="5B135637" w14:textId="46CA09E6" w:rsidR="00140903" w:rsidRDefault="00140903">
      <w:r>
        <w:t>Exemplo:</w:t>
      </w:r>
    </w:p>
    <w:p w14:paraId="746A9FF1" w14:textId="393147F8" w:rsidR="00140903" w:rsidRDefault="00140903">
      <w:r>
        <w:t>Gasolina</w:t>
      </w:r>
    </w:p>
    <w:p w14:paraId="2A487FBD" w14:textId="0CA968B5" w:rsidR="00140903" w:rsidRDefault="00140903">
      <w:r>
        <w:t>Consumo Total = 28.749</w:t>
      </w:r>
    </w:p>
    <w:p w14:paraId="7B14AA56" w14:textId="4CF5F596" w:rsidR="00140903" w:rsidRDefault="00140903">
      <w:r>
        <w:t>Consumo Rodoviário = 28.702 (99,84%)</w:t>
      </w:r>
    </w:p>
    <w:p w14:paraId="0C4DDF61" w14:textId="57D3BC96" w:rsidR="004E56A2" w:rsidRDefault="00140903">
      <w:r w:rsidRPr="00140903">
        <w:drawing>
          <wp:inline distT="0" distB="0" distL="0" distR="0" wp14:anchorId="70F69F81" wp14:editId="66AC8FEC">
            <wp:extent cx="5400040" cy="3371850"/>
            <wp:effectExtent l="0" t="0" r="0" b="0"/>
            <wp:docPr id="1694551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51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267B" w14:textId="77777777" w:rsidR="00BE4140" w:rsidRDefault="00BE4140"/>
    <w:p w14:paraId="45A43F66" w14:textId="77777777" w:rsidR="00BE4140" w:rsidRDefault="00BE4140"/>
    <w:p w14:paraId="10B2CD79" w14:textId="77777777" w:rsidR="00BE4140" w:rsidRDefault="00BE4140"/>
    <w:p w14:paraId="1B2638ED" w14:textId="77777777" w:rsidR="00BE4140" w:rsidRDefault="00BE4140"/>
    <w:p w14:paraId="78D0D688" w14:textId="77777777" w:rsidR="00BE4140" w:rsidRDefault="00BE4140"/>
    <w:p w14:paraId="1BD7957E" w14:textId="77777777" w:rsidR="00BE4140" w:rsidRDefault="00BE4140"/>
    <w:p w14:paraId="5A9E511F" w14:textId="77777777" w:rsidR="00BE4140" w:rsidRDefault="00BE4140"/>
    <w:p w14:paraId="021B1F34" w14:textId="77777777" w:rsidR="00BE4140" w:rsidRDefault="00BE4140"/>
    <w:p w14:paraId="4CFE6756" w14:textId="77777777" w:rsidR="00BE4140" w:rsidRDefault="00BE4140"/>
    <w:p w14:paraId="00075959" w14:textId="2B56F287" w:rsidR="00BE4140" w:rsidRPr="00605DB4" w:rsidRDefault="00BE4140" w:rsidP="00BE4140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2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64CE58F6" w14:textId="77777777" w:rsidR="00BE4140" w:rsidRDefault="00BE4140"/>
    <w:p w14:paraId="5552E5BF" w14:textId="3EA601EE" w:rsidR="00A501BE" w:rsidRDefault="00A501BE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  <w: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  <w:t>CurvaSUCATEAMENTO2.m</w:t>
      </w:r>
    </w:p>
    <w:p w14:paraId="4363D9AE" w14:textId="77777777" w:rsidR="00A501BE" w:rsidRDefault="00A501BE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</w:p>
    <w:p w14:paraId="468F7335" w14:textId="386CC984" w:rsidR="00A501BE" w:rsidRDefault="00A501BE">
      <w:pPr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  <w:r w:rsidRPr="00A501BE"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  <w:t xml:space="preserve">As equações da curva de sucateamento estão descritas nas páginas 55 e 56 da dissertação do BRAVES </w:t>
      </w:r>
    </w:p>
    <w:p w14:paraId="055186F5" w14:textId="77777777" w:rsidR="006728C0" w:rsidRDefault="006728C0">
      <w:pPr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</w:p>
    <w:p w14:paraId="29BBECFA" w14:textId="07695FDA" w:rsidR="006728C0" w:rsidRPr="00A501BE" w:rsidRDefault="006728C0">
      <w:pPr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</w:pPr>
      <w:r w:rsidRPr="006728C0"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  <w:t>https://repositorio.ufsc.br/handle/123456789/229823</w:t>
      </w:r>
    </w:p>
    <w:p w14:paraId="22DB394F" w14:textId="77777777" w:rsidR="00A501BE" w:rsidRDefault="00A501BE"/>
    <w:p w14:paraId="4B6C4ADC" w14:textId="5EDA6DBC" w:rsidR="00BE4140" w:rsidRDefault="00BE4140">
      <w:r w:rsidRPr="00BE4140">
        <w:drawing>
          <wp:inline distT="0" distB="0" distL="0" distR="0" wp14:anchorId="7CB0B370" wp14:editId="2CF7B629">
            <wp:extent cx="5400040" cy="3239770"/>
            <wp:effectExtent l="0" t="0" r="0" b="0"/>
            <wp:docPr id="1406738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384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C5F3" w14:textId="77777777" w:rsidR="00BE4140" w:rsidRDefault="00BE4140"/>
    <w:p w14:paraId="5BBCDEC2" w14:textId="77777777" w:rsidR="00052119" w:rsidRDefault="00052119"/>
    <w:p w14:paraId="4CEAAF52" w14:textId="77777777" w:rsidR="00052119" w:rsidRDefault="00052119"/>
    <w:p w14:paraId="664297EB" w14:textId="77777777" w:rsidR="00052119" w:rsidRDefault="00052119"/>
    <w:p w14:paraId="3D52C894" w14:textId="2BE5B500" w:rsidR="00052119" w:rsidRDefault="00052119">
      <w:r>
        <w:br w:type="page"/>
      </w:r>
    </w:p>
    <w:p w14:paraId="6F43A4B3" w14:textId="069C9BD0" w:rsidR="00052119" w:rsidRPr="00605DB4" w:rsidRDefault="00052119" w:rsidP="00052119">
      <w:pPr>
        <w:jc w:val="center"/>
        <w:rPr>
          <w:b/>
          <w:bCs/>
          <w:sz w:val="40"/>
          <w:szCs w:val="40"/>
          <w:u w:val="single"/>
        </w:rPr>
      </w:pPr>
      <w:r w:rsidRPr="00605DB4">
        <w:rPr>
          <w:b/>
          <w:bCs/>
          <w:sz w:val="40"/>
          <w:szCs w:val="40"/>
          <w:u w:val="single"/>
        </w:rPr>
        <w:lastRenderedPageBreak/>
        <w:t xml:space="preserve">** </w:t>
      </w:r>
      <w:r>
        <w:rPr>
          <w:b/>
          <w:bCs/>
          <w:sz w:val="40"/>
          <w:szCs w:val="40"/>
          <w:u w:val="single"/>
        </w:rPr>
        <w:t>3</w:t>
      </w:r>
      <w:r w:rsidRPr="00605DB4">
        <w:rPr>
          <w:b/>
          <w:bCs/>
          <w:sz w:val="40"/>
          <w:szCs w:val="40"/>
          <w:u w:val="single"/>
        </w:rPr>
        <w:t xml:space="preserve"> **</w:t>
      </w:r>
    </w:p>
    <w:p w14:paraId="265D95AC" w14:textId="55CA5107" w:rsidR="00052119" w:rsidRDefault="002C6399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  <w:proofErr w:type="spellStart"/>
      <w: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  <w:t>Categorizacao_Combustiveis.m</w:t>
      </w:r>
      <w:proofErr w:type="spellEnd"/>
    </w:p>
    <w:p w14:paraId="540A550C" w14:textId="77777777" w:rsidR="002C6399" w:rsidRDefault="002C6399">
      <w:pPr>
        <w:rPr>
          <w:rFonts w:ascii="Helvetica" w:hAnsi="Helvetica" w:cs="Helvetica"/>
          <w:b/>
          <w:bCs/>
          <w:color w:val="FF3333"/>
          <w:sz w:val="18"/>
          <w:szCs w:val="18"/>
          <w:shd w:val="clear" w:color="auto" w:fill="FBFBFB"/>
        </w:rPr>
      </w:pPr>
    </w:p>
    <w:p w14:paraId="0B29FE25" w14:textId="16BA4EE4" w:rsidR="002C6399" w:rsidRDefault="002C6399">
      <w:r>
        <w:t xml:space="preserve">O Agrupamento dos tipos de combustível foi realizado considerando as principais motorizações utilizados no território brasileiro: gasolina comum, etanol hidratado, diesel, gás natural veicular e motorizações </w:t>
      </w:r>
      <w:proofErr w:type="spellStart"/>
      <w:r>
        <w:t>flex-fuel</w:t>
      </w:r>
      <w:proofErr w:type="spellEnd"/>
      <w:r>
        <w:t>. Estes tipos de motorização são os considerados o mais próximo da realidade da frota brasileira. Os dados dos tipos de combustíveis licenciados nos veículos dos municípios brasileiros obtidos a partir dos dados estatísticos do (DENATRAN, 2018c) estão apresentados na Tabela 5.</w:t>
      </w:r>
    </w:p>
    <w:p w14:paraId="35F44A40" w14:textId="77777777" w:rsidR="002C6399" w:rsidRDefault="002C6399"/>
    <w:p w14:paraId="31906C02" w14:textId="4EA87426" w:rsidR="002C6399" w:rsidRDefault="002C6399">
      <w:r w:rsidRPr="002C6399">
        <w:drawing>
          <wp:inline distT="0" distB="0" distL="0" distR="0" wp14:anchorId="2F7CBB2F" wp14:editId="4BACA63B">
            <wp:extent cx="5400040" cy="2093595"/>
            <wp:effectExtent l="0" t="0" r="0" b="1905"/>
            <wp:docPr id="156244981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9816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D725" w14:textId="77777777" w:rsidR="002C6399" w:rsidRDefault="002C6399"/>
    <w:p w14:paraId="32E7B010" w14:textId="4B12B8AD" w:rsidR="002C6399" w:rsidRDefault="002C6399">
      <w:r>
        <w:t>Veículos licenciados que possuem como alternativa o uso de Gás Natural Veicular (GNV) ou Gás Natural Combustível são considerados veículos adaptados. A CETESB (2019) afirma que o GNV é utilizado em veículos convertidos com motor do ciclo Otto, que eram originalmente movidos a etanol hidratado ou gasolina comum. Já os veículos elétricos, sem informação ou frota experimental são agrupados em outra categoria. Devido a fração ínfima de veículos elétricos e de veículos licenciados a Gás Natural Veicular essa parcela da frota foi descartada da estimativa de emissão.</w:t>
      </w:r>
    </w:p>
    <w:sectPr w:rsidR="002C63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7D524" w14:textId="77777777" w:rsidR="00200D09" w:rsidRDefault="00200D09" w:rsidP="00605DB4">
      <w:pPr>
        <w:spacing w:after="0" w:line="240" w:lineRule="auto"/>
      </w:pPr>
      <w:r>
        <w:separator/>
      </w:r>
    </w:p>
  </w:endnote>
  <w:endnote w:type="continuationSeparator" w:id="0">
    <w:p w14:paraId="35EAD349" w14:textId="77777777" w:rsidR="00200D09" w:rsidRDefault="00200D09" w:rsidP="00605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AD296" w14:textId="77777777" w:rsidR="00200D09" w:rsidRDefault="00200D09" w:rsidP="00605DB4">
      <w:pPr>
        <w:spacing w:after="0" w:line="240" w:lineRule="auto"/>
      </w:pPr>
      <w:r>
        <w:separator/>
      </w:r>
    </w:p>
  </w:footnote>
  <w:footnote w:type="continuationSeparator" w:id="0">
    <w:p w14:paraId="27638CDE" w14:textId="77777777" w:rsidR="00200D09" w:rsidRDefault="00200D09" w:rsidP="00605D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A2"/>
    <w:rsid w:val="00052119"/>
    <w:rsid w:val="00140903"/>
    <w:rsid w:val="00200D09"/>
    <w:rsid w:val="002C6399"/>
    <w:rsid w:val="00457B1A"/>
    <w:rsid w:val="004E56A2"/>
    <w:rsid w:val="00605DB4"/>
    <w:rsid w:val="006728C0"/>
    <w:rsid w:val="00A501BE"/>
    <w:rsid w:val="00BE4140"/>
    <w:rsid w:val="00CF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2AF1"/>
  <w15:chartTrackingRefBased/>
  <w15:docId w15:val="{BC2CFEED-7BC8-44C1-8D62-9E9DFEAA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5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5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56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56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5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56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5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5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5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6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6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56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6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56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E56A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56A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05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5DB4"/>
  </w:style>
  <w:style w:type="paragraph" w:styleId="Rodap">
    <w:name w:val="footer"/>
    <w:basedOn w:val="Normal"/>
    <w:link w:val="RodapChar"/>
    <w:uiPriority w:val="99"/>
    <w:unhideWhenUsed/>
    <w:rsid w:val="00605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5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epe.gov.br/sites-pt/publicacoes-dados-abertos/publicacoes/PublicacoesArquivos/publicacao-675/topico-638/BEN2022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pe.gov.br/pt/publicacoes-dados-abertos/publicacoes/balanco-energetico-nacional-2022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303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Vasques</dc:creator>
  <cp:keywords/>
  <dc:description/>
  <cp:lastModifiedBy>Thiago Vasques</cp:lastModifiedBy>
  <cp:revision>10</cp:revision>
  <dcterms:created xsi:type="dcterms:W3CDTF">2024-03-29T18:30:00Z</dcterms:created>
  <dcterms:modified xsi:type="dcterms:W3CDTF">2024-03-29T21:58:00Z</dcterms:modified>
</cp:coreProperties>
</file>