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color w:val="666666"/>
          <w:sz w:val="28"/>
          <w:szCs w:val="28"/>
        </w:rPr>
        <w:t xml:space="preserve">CS313 Deep Learning for Artificial Intelligence</w:t>
      </w:r>
    </w:p>
    <w:p>
      <w:pPr>
        <w:spacing w:after="100"/>
        <w:jc w:val="center"/>
      </w:pPr>
      <w:r>
        <w:rPr>
          <w:rFonts w:ascii="Arial" w:cs="Arial" w:eastAsia="Arial" w:hAnsi="Arial"/>
          <w:color w:val="999999"/>
          <w:sz w:val="24"/>
          <w:szCs w:val="24"/>
        </w:rPr>
        <w:t xml:space="preserve">SPRING 2026</w:t>
      </w:r>
    </w:p>
    <w:p>
      <w:pPr>
        <w:spacing w:after="80"/>
      </w:pPr>
    </w:p>
    <w:p>
      <w:pPr>
        <w:spacing w:after="80"/>
      </w:pPr>
    </w:p>
    <w:p>
      <w:pPr>
        <w:spacing w:after="300"/>
        <w:jc w:val="center"/>
      </w:pPr>
      <w:r>
        <w:rPr>
          <w:rFonts w:ascii="Arial" w:cs="Arial" w:eastAsia="Arial" w:hAnsi="Arial"/>
          <w:b/>
          <w:bCs/>
          <w:color w:val="1A3C5E"/>
          <w:sz w:val="48"/>
          <w:szCs w:val="48"/>
        </w:rPr>
        <w:t xml:space="preserve">Final Project Report</w:t>
      </w:r>
    </w:p>
    <w:p>
      <w:pPr>
        <w:spacing w:after="400"/>
        <w:jc w:val="center"/>
      </w:pPr>
      <w:r>
        <w:rPr>
          <w:rFonts w:ascii="Arial" w:cs="Arial" w:eastAsia="Arial" w:hAnsi="Arial"/>
          <w:color w:val="2E5A88"/>
          <w:sz w:val="32"/>
          <w:szCs w:val="32"/>
        </w:rPr>
        <w:t xml:space="preserve">Time-Series Stock Market Prediction</w:t>
      </w:r>
    </w:p>
    <w:p>
      <w:pPr>
        <w:spacing w:after="80"/>
      </w:pPr>
    </w:p>
    <w:p>
      <w:pPr>
        <w:spacing w:after="80"/>
      </w:pPr>
    </w:p>
    <w:p>
      <w:pPr>
        <w:spacing w:after="80"/>
      </w:pPr>
    </w:p>
    <w:p>
      <w:pPr>
        <w:spacing w:after="120"/>
        <w:jc w:val="center"/>
      </w:pPr>
      <w:r>
        <w:rPr>
          <w:rFonts w:ascii="Arial" w:cs="Arial" w:eastAsia="Arial" w:hAnsi="Arial"/>
          <w:b/>
          <w:bCs/>
          <w:sz w:val="28"/>
          <w:szCs w:val="28"/>
        </w:rPr>
        <w:t xml:space="preserve">HOA THI THUY LINH</w:t>
      </w:r>
    </w:p>
    <w:p>
      <w:pPr>
        <w:spacing w:after="120"/>
        <w:jc w:val="center"/>
      </w:pPr>
      <w:r>
        <w:rPr>
          <w:rFonts w:ascii="Arial" w:cs="Arial" w:eastAsia="Arial" w:hAnsi="Arial"/>
          <w:color w:val="666666"/>
          <w:sz w:val="24"/>
          <w:szCs w:val="24"/>
        </w:rPr>
        <w:t xml:space="preserve">Student ID: 210225</w:t>
      </w:r>
    </w:p>
    <w:p>
      <w:pPr>
        <w:spacing w:after="120"/>
        <w:jc w:val="center"/>
      </w:pPr>
      <w:r>
        <w:rPr>
          <w:rFonts w:ascii="Arial" w:cs="Arial" w:eastAsia="Arial" w:hAnsi="Arial"/>
          <w:color w:val="666666"/>
          <w:sz w:val="24"/>
          <w:szCs w:val="24"/>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Introduction</w:t>
      </w:r>
    </w:p>
    <w:p>
      <w:pPr>
        <w:spacing w:after="160" w:line="276"/>
        <w:jc w:val="both"/>
      </w:pPr>
      <w:r>
        <w:rPr>
          <w:rFonts w:ascii="Arial" w:cs="Arial" w:eastAsia="Arial" w:hAnsi="Arial"/>
          <w:sz w:val="24"/>
          <w:szCs w:val="24"/>
        </w:rPr>
        <w:t xml:space="preserve">This report documents the complete journey of building a deep learning-based stock market prediction system, from data preprocessing and exploratory analysis through model training, signal detection, portfolio optimization, and finally deployment as a production-ready service. The project addresses six major tasks spanning the full machine learning lifecycle for financial time-series forecasting.</w:t>
      </w:r>
    </w:p>
    <w:p>
      <w:pPr>
        <w:spacing w:after="160" w:line="276"/>
        <w:jc w:val="both"/>
      </w:pPr>
      <w:r>
        <w:rPr>
          <w:rFonts w:ascii="Arial" w:cs="Arial" w:eastAsia="Arial" w:hAnsi="Arial"/>
          <w:sz w:val="24"/>
          <w:szCs w:val="24"/>
        </w:rPr>
        <w:t xml:space="preserve">The primary objective is to apply deep learning techniques (LSTM, GRU, Conv1D) to predict stock prices on both the Nasdaq and Vietnam (HOSE) markets, generate actionable buy/sell trading signals, construct optimized investment portfolios, and deploy the system as an accessible web service. Throughout this work, we emphasize methodological rigor, honest evaluation against baselines, and practical deployment considerations.</w:t>
      </w:r>
    </w:p>
    <w:p>
      <w:pPr>
        <w:spacing w:after="160" w:line="276"/>
        <w:jc w:val="both"/>
      </w:pPr>
      <w:r>
        <w:rPr>
          <w:rFonts w:ascii="Arial" w:cs="Arial" w:eastAsia="Arial" w:hAnsi="Arial"/>
          <w:sz w:val="24"/>
          <w:szCs w:val="24"/>
        </w:rPr>
        <w:t xml:space="preserve">Our dataset encompasses historical OHLCV (Open, High, Low, Close, Volume) data for Nasdaq stocks and 402 companies listed on the Ho Chi Minh Stock Exchange (HOSE). For Vietnam stocks, we additionally incorporate fundamental data including financial ratios, dividend histories, and industry classifications sourced from publicly available datasets covering 2012 to early 2026.</w:t>
      </w:r>
    </w:p>
    <w:p>
      <w:pPr>
        <w:pStyle w:val="Heading1"/>
        <w:spacing w:after="200" w:before="360"/>
      </w:pPr>
      <w:r>
        <w:rPr>
          <w:rFonts w:ascii="Arial" w:cs="Arial" w:eastAsia="Arial" w:hAnsi="Arial"/>
          <w:b/>
          <w:bCs/>
          <w:sz w:val="32"/>
          <w:szCs w:val="32"/>
        </w:rPr>
        <w:t xml:space="preserve">2. Task 1: Nasdaq Stock Price Prediction</w:t>
      </w:r>
    </w:p>
    <w:p>
      <w:pPr>
        <w:pStyle w:val="Heading2"/>
        <w:spacing w:after="200" w:before="240"/>
      </w:pPr>
      <w:r>
        <w:rPr>
          <w:rFonts w:ascii="Arial" w:cs="Arial" w:eastAsia="Arial" w:hAnsi="Arial"/>
          <w:b/>
          <w:bCs/>
          <w:sz w:val="28"/>
          <w:szCs w:val="28"/>
        </w:rPr>
        <w:t xml:space="preserve">2.1 Data Preparation and Feature Engineering</w:t>
      </w:r>
    </w:p>
    <w:p>
      <w:pPr>
        <w:spacing w:after="160" w:line="276"/>
        <w:jc w:val="both"/>
      </w:pPr>
      <w:r>
        <w:rPr>
          <w:rFonts w:ascii="Arial" w:cs="Arial" w:eastAsia="Arial" w:hAnsi="Arial"/>
          <w:sz w:val="24"/>
          <w:szCs w:val="24"/>
        </w:rPr>
        <w:t xml:space="preserve">We begin with the standard Nasdaq dataset (AAPL as the primary stock), extending the baseline single-feature model to use 15 features: OHLC prices, Adjusted Close, Volume, and 9 technical indicators (SMA-10, SMA-20, MACD, MACD Signal, RSI, Bollinger Bands upper/lower, daily Returns, and rolling Volatility). Data is filtered to post-2012 to ensure relevance, and we apply per-window MinMax normalization across 30-day sliding windows.</w:t>
      </w:r>
    </w:p>
    <w:p>
      <w:pPr>
        <w:spacing w:after="160" w:line="276"/>
        <w:jc w:val="both"/>
      </w:pPr>
      <w:r>
        <w:rPr>
          <w:rFonts w:ascii="Arial" w:cs="Arial" w:eastAsia="Arial" w:hAnsi="Arial"/>
          <w:sz w:val="24"/>
          <w:szCs w:val="24"/>
        </w:rPr>
        <w:t xml:space="preserve">The chronological train/validation/test split (70/15/15) strictly preserves temporal ordering. We never shuffle time-series data, as this would introduce future information leakage and produce unrealistically optimistic results.</w:t>
      </w:r>
    </w:p>
    <w:p>
      <w:pPr>
        <w:pStyle w:val="Heading2"/>
        <w:spacing w:after="200" w:before="240"/>
      </w:pPr>
      <w:r>
        <w:rPr>
          <w:rFonts w:ascii="Arial" w:cs="Arial" w:eastAsia="Arial" w:hAnsi="Arial"/>
          <w:b/>
          <w:bCs/>
          <w:sz w:val="28"/>
          <w:szCs w:val="28"/>
        </w:rPr>
        <w:t xml:space="preserve">2.2 Model Architectures</w:t>
      </w:r>
    </w:p>
    <w:p>
      <w:pPr>
        <w:spacing w:after="160" w:line="276"/>
        <w:jc w:val="both"/>
      </w:pPr>
      <w:r>
        <w:rPr>
          <w:rFonts w:ascii="Arial" w:cs="Arial" w:eastAsia="Arial" w:hAnsi="Arial"/>
          <w:sz w:val="24"/>
          <w:szCs w:val="24"/>
        </w:rPr>
        <w:t xml:space="preserve">Three architectures are compared: LSTM (32-16 units, two layers), GRU (32-16 units), and Conv1D (64-128-64 filters with GlobalAveragePooling). All models use dropout regularization (0.3) and are trained with Adam optimizer, early stopping (patience=8), and learning rate reduction on plateau.</w:t>
      </w:r>
    </w:p>
    <w:p>
      <w:pPr>
        <w:pStyle w:val="Heading2"/>
        <w:spacing w:after="200" w:before="240"/>
      </w:pPr>
      <w:r>
        <w:rPr>
          <w:rFonts w:ascii="Arial" w:cs="Arial" w:eastAsia="Arial" w:hAnsi="Arial"/>
          <w:b/>
          <w:bCs/>
          <w:sz w:val="28"/>
          <w:szCs w:val="28"/>
        </w:rPr>
        <w:t xml:space="preserve">2.3 Results and Baseline Comparison</w:t>
      </w:r>
    </w:p>
    <w:p>
      <w:pPr>
        <w:spacing w:after="160" w:line="276"/>
        <w:jc w:val="both"/>
      </w:pPr>
      <w:r>
        <w:rPr>
          <w:rFonts w:ascii="Arial" w:cs="Arial" w:eastAsia="Arial" w:hAnsi="Arial"/>
          <w:sz w:val="24"/>
          <w:szCs w:val="24"/>
        </w:rPr>
        <w:t xml:space="preserve">A critical component of our evaluation is the naive (persistence) baseline, which predicts that tomorrow's price equals today's price. This is an extremely strong baseline for short-horizon stock prediction due to price autocorrelation.</w:t>
      </w:r>
    </w:p>
    <w:p>
      <w:pPr>
        <w:spacing w:after="160" w:line="276"/>
        <w:jc w:val="both"/>
      </w:pPr>
      <w:r>
        <w:rPr>
          <w:rFonts w:ascii="Arial" w:cs="Arial" w:eastAsia="Arial" w:hAnsi="Arial"/>
          <w:b/>
          <w:bCs/>
          <w:sz w:val="24"/>
          <w:szCs w:val="24"/>
        </w:rPr>
        <w:t xml:space="preserve">Key finding: </w:t>
      </w:r>
      <w:r>
        <w:rPr>
          <w:rFonts w:ascii="Arial" w:cs="Arial" w:eastAsia="Arial" w:hAnsi="Arial"/>
          <w:sz w:val="24"/>
          <w:szCs w:val="24"/>
        </w:rPr>
        <w:t xml:space="preserve">No deep learning model beats the naive baseline for next-day (k=1) prediction. The single-feature LSTM achieves MAE=0.1195 versus the naive baseline MAE=0.1124. The multi-feature LSTM performs even worse (MAE=0.1275), demonstrating the curse of dimensionality: additional features introduce noise that makes learning harder when the prediction horizon is very short and autocorrelation is dominant.</w:t>
      </w:r>
    </w:p>
    <w:p>
      <w:pPr>
        <w:spacing w:after="160" w:line="276"/>
        <w:jc w:val="both"/>
      </w:pPr>
      <w:r>
        <w:rPr>
          <w:rFonts w:ascii="Arial" w:cs="Arial" w:eastAsia="Arial" w:hAnsi="Arial"/>
          <w:sz w:val="24"/>
          <w:szCs w:val="24"/>
        </w:rPr>
        <w:t xml:space="preserve">This is a well-documented phenomenon in financial time-series forecasting. At k=1, the price random walk is so strong that even sophisticated models cannot reliably outperform the trivial predictor. The value of deep learning emerges at longer horizons (k=5, k=7) where momentum indicators capture medium-term trends.</w:t>
      </w:r>
    </w:p>
    <w:p>
      <w:pPr>
        <w:pStyle w:val="Heading2"/>
        <w:spacing w:after="200" w:before="240"/>
      </w:pPr>
      <w:r>
        <w:rPr>
          <w:rFonts w:ascii="Arial" w:cs="Arial" w:eastAsia="Arial" w:hAnsi="Arial"/>
          <w:b/>
          <w:bCs/>
          <w:sz w:val="28"/>
          <w:szCs w:val="28"/>
        </w:rPr>
        <w:t xml:space="preserve">2.4 Multi-Horizon Forecasting</w:t>
      </w:r>
    </w:p>
    <w:p>
      <w:pPr>
        <w:spacing w:after="160" w:line="276"/>
        <w:jc w:val="both"/>
      </w:pPr>
      <w:r>
        <w:rPr>
          <w:rFonts w:ascii="Arial" w:cs="Arial" w:eastAsia="Arial" w:hAnsi="Arial"/>
          <w:sz w:val="24"/>
          <w:szCs w:val="24"/>
        </w:rPr>
        <w:t xml:space="preserve">We extend the model to k-th day forecasting (predicting the price k days ahead) and k-consecutive days forecasting (predicting the next k days simultaneously). For k=3 and k=7, LSTM models show relative improvement over naive baselines compared to k=1, as the autocorrelation advantage of the naive predictor weakens at longer horizons.</w:t>
      </w:r>
    </w:p>
    <w:p>
      <w:pPr>
        <w:pStyle w:val="Heading1"/>
        <w:spacing w:after="200" w:before="360"/>
      </w:pPr>
      <w:r>
        <w:rPr>
          <w:rFonts w:ascii="Arial" w:cs="Arial" w:eastAsia="Arial" w:hAnsi="Arial"/>
          <w:b/>
          <w:bCs/>
          <w:sz w:val="32"/>
          <w:szCs w:val="32"/>
        </w:rPr>
        <w:t xml:space="preserve">3. Task 2: Vietnam Stock Price Prediction</w:t>
      </w:r>
    </w:p>
    <w:p>
      <w:pPr>
        <w:pStyle w:val="Heading2"/>
        <w:spacing w:after="200" w:before="240"/>
      </w:pPr>
      <w:r>
        <w:rPr>
          <w:rFonts w:ascii="Arial" w:cs="Arial" w:eastAsia="Arial" w:hAnsi="Arial"/>
          <w:b/>
          <w:bCs/>
          <w:sz w:val="28"/>
          <w:szCs w:val="28"/>
        </w:rPr>
        <w:t xml:space="preserve">3.1 Market Characteristics</w:t>
      </w:r>
    </w:p>
    <w:p>
      <w:pPr>
        <w:spacing w:after="160" w:line="276"/>
        <w:jc w:val="both"/>
      </w:pPr>
      <w:r>
        <w:rPr>
          <w:rFonts w:ascii="Arial" w:cs="Arial" w:eastAsia="Arial" w:hAnsi="Arial"/>
          <w:sz w:val="24"/>
          <w:szCs w:val="24"/>
        </w:rPr>
        <w:t xml:space="preserve">The Vietnam stock market (HOSE) presents distinct challenges compared to Nasdaq: lower liquidity, higher volatility, fewer institutional investors, and different market microstructure. We select 8 representative stocks across sectors (FPT-Technology, VCB/ACB-Banking, VIC/VHM-Real Estate, VNM-Consumer, MWG-Consumer, HPG-Steel) to test model generalization.</w:t>
      </w:r>
    </w:p>
    <w:p>
      <w:pPr>
        <w:pStyle w:val="Heading2"/>
        <w:spacing w:after="200" w:before="240"/>
      </w:pPr>
      <w:r>
        <w:rPr>
          <w:rFonts w:ascii="Arial" w:cs="Arial" w:eastAsia="Arial" w:hAnsi="Arial"/>
          <w:b/>
          <w:bCs/>
          <w:sz w:val="28"/>
          <w:szCs w:val="28"/>
        </w:rPr>
        <w:t xml:space="preserve">3.2 Architecture Comparison and Results</w:t>
      </w:r>
    </w:p>
    <w:p>
      <w:pPr>
        <w:spacing w:after="160" w:line="276"/>
        <w:jc w:val="both"/>
      </w:pPr>
      <w:r>
        <w:rPr>
          <w:rFonts w:ascii="Arial" w:cs="Arial" w:eastAsia="Arial" w:hAnsi="Arial"/>
          <w:sz w:val="24"/>
          <w:szCs w:val="24"/>
        </w:rPr>
        <w:t xml:space="preserve">Using the same 15-feature set and model architectures from Task 1, we train individual LSTM models for each Vietnamese stock. The BiLSTM variant adds bidirectional processing to capture both forward and backward temporal patterns.</w:t>
      </w:r>
    </w:p>
    <w:p>
      <w:pPr>
        <w:spacing w:after="160" w:line="276"/>
        <w:jc w:val="both"/>
      </w:pPr>
      <w:r>
        <w:rPr>
          <w:rFonts w:ascii="Arial" w:cs="Arial" w:eastAsia="Arial" w:hAnsi="Arial"/>
          <w:b/>
          <w:bCs/>
          <w:sz w:val="24"/>
          <w:szCs w:val="24"/>
        </w:rPr>
        <w:t xml:space="preserve">Honest assessment: </w:t>
      </w:r>
      <w:r>
        <w:rPr>
          <w:rFonts w:ascii="Arial" w:cs="Arial" w:eastAsia="Arial" w:hAnsi="Arial"/>
          <w:sz w:val="24"/>
          <w:szCs w:val="24"/>
        </w:rPr>
        <w:t xml:space="preserve">The LSTM model beats the naive baseline on 0 out of 8 Vietnamese stocks (average model MAE=0.1290 versus naive MAE=0.1096). This reinforces the Task 1 finding that per-window MinMax normalization combined with short-horizon prediction creates an extremely difficult benchmarking scenario. The naive baseline inherently benefits from the normalization scheme.</w:t>
      </w:r>
    </w:p>
    <w:p>
      <w:pPr>
        <w:pStyle w:val="Heading2"/>
        <w:spacing w:after="200" w:before="240"/>
      </w:pPr>
      <w:r>
        <w:rPr>
          <w:rFonts w:ascii="Arial" w:cs="Arial" w:eastAsia="Arial" w:hAnsi="Arial"/>
          <w:b/>
          <w:bCs/>
          <w:sz w:val="28"/>
          <w:szCs w:val="28"/>
        </w:rPr>
        <w:t xml:space="preserve">3.3 Fundamental Data Experiment</w:t>
      </w:r>
    </w:p>
    <w:p>
      <w:pPr>
        <w:spacing w:after="160" w:line="276"/>
        <w:jc w:val="both"/>
      </w:pPr>
      <w:r>
        <w:rPr>
          <w:rFonts w:ascii="Arial" w:cs="Arial" w:eastAsia="Arial" w:hAnsi="Arial"/>
          <w:sz w:val="24"/>
          <w:szCs w:val="24"/>
        </w:rPr>
        <w:t xml:space="preserve">We investigate whether fundamental data (P/E ratio, ROE, debt-to-equity from quarterly financial reports) improves prediction. The fundamental features are merged with daily price data, with an important caveat: quarterly reports have a 30-45 day reporting lag, so we shift fundamental values accordingly to prevent look-ahead bias.</w:t>
      </w:r>
    </w:p>
    <w:p>
      <w:pPr>
        <w:spacing w:after="160" w:line="276"/>
        <w:jc w:val="both"/>
      </w:pPr>
      <w:r>
        <w:rPr>
          <w:rFonts w:ascii="Arial" w:cs="Arial" w:eastAsia="Arial" w:hAnsi="Arial"/>
          <w:sz w:val="24"/>
          <w:szCs w:val="24"/>
        </w:rPr>
        <w:t xml:space="preserve">Results show mixed impact: fundamental features slightly improve prediction for banking stocks (where fundamentals drive valuation) but add noise for technology stocks (where sentiment and momentum dominate).</w:t>
      </w:r>
    </w:p>
    <w:p>
      <w:pPr>
        <w:pStyle w:val="Heading2"/>
        <w:spacing w:after="200" w:before="240"/>
      </w:pPr>
      <w:r>
        <w:rPr>
          <w:rFonts w:ascii="Arial" w:cs="Arial" w:eastAsia="Arial" w:hAnsi="Arial"/>
          <w:b/>
          <w:bCs/>
          <w:sz w:val="28"/>
          <w:szCs w:val="28"/>
        </w:rPr>
        <w:t xml:space="preserve">3.4 Feature Ablation Study</w:t>
      </w:r>
    </w:p>
    <w:p>
      <w:pPr>
        <w:spacing w:after="160" w:line="276"/>
        <w:jc w:val="both"/>
      </w:pPr>
      <w:r>
        <w:rPr>
          <w:rFonts w:ascii="Arial" w:cs="Arial" w:eastAsia="Arial" w:hAnsi="Arial"/>
          <w:sz w:val="24"/>
          <w:szCs w:val="24"/>
        </w:rPr>
        <w:t xml:space="preserve">A systematic ablation study reveals that fewer features often perform better. The single-feature (Close only) model consistently outperforms multi-feature variants at k=1, reinforcing the curse-of-dimensionality lesson. This finding is critical for practitioners: more data is not always better.</w:t>
      </w:r>
    </w:p>
    <w:p>
      <w:pPr>
        <w:pStyle w:val="Heading1"/>
        <w:spacing w:after="200" w:before="360"/>
      </w:pPr>
      <w:r>
        <w:rPr>
          <w:rFonts w:ascii="Arial" w:cs="Arial" w:eastAsia="Arial" w:hAnsi="Arial"/>
          <w:b/>
          <w:bCs/>
          <w:sz w:val="32"/>
          <w:szCs w:val="32"/>
        </w:rPr>
        <w:t xml:space="preserve">4. Task 3: Trading Signal Identification</w:t>
      </w:r>
    </w:p>
    <w:p>
      <w:pPr>
        <w:pStyle w:val="Heading2"/>
        <w:spacing w:after="200" w:before="240"/>
      </w:pPr>
      <w:r>
        <w:rPr>
          <w:rFonts w:ascii="Arial" w:cs="Arial" w:eastAsia="Arial" w:hAnsi="Arial"/>
          <w:b/>
          <w:bCs/>
          <w:sz w:val="28"/>
          <w:szCs w:val="28"/>
        </w:rPr>
        <w:t xml:space="preserve">4.1 Signal Labeling Strategy</w:t>
      </w:r>
    </w:p>
    <w:p>
      <w:pPr>
        <w:spacing w:after="160" w:line="276"/>
        <w:jc w:val="both"/>
      </w:pPr>
      <w:r>
        <w:rPr>
          <w:rFonts w:ascii="Arial" w:cs="Arial" w:eastAsia="Arial" w:hAnsi="Arial"/>
          <w:sz w:val="24"/>
          <w:szCs w:val="24"/>
        </w:rPr>
        <w:t xml:space="preserve">We frame trading signal detection as a binary classification problem. The labeling strategy uses an adaptive threshold based on the median absolute forward return computed on the training portion only (first 70% of data). This prevents threshold leakage, where future information contaminates the labeling process.</w:t>
      </w:r>
    </w:p>
    <w:p>
      <w:pPr>
        <w:spacing w:after="160" w:line="276"/>
        <w:jc w:val="both"/>
      </w:pPr>
      <w:r>
        <w:rPr>
          <w:rFonts w:ascii="Arial" w:cs="Arial" w:eastAsia="Arial" w:hAnsi="Arial"/>
          <w:sz w:val="24"/>
          <w:szCs w:val="24"/>
        </w:rPr>
        <w:t xml:space="preserve">A k-day forward return exceeding the threshold generates a Buy signal; a return below the negative threshold generates a Sell signal; returns within the threshold band are labeled Hold. This produces approximately 30% Buy, 20-25% Sell, and 50% Hold labels, creating a realistic class imbalance scenario.</w:t>
      </w:r>
    </w:p>
    <w:p>
      <w:pPr>
        <w:pStyle w:val="Heading2"/>
        <w:spacing w:after="200" w:before="240"/>
      </w:pPr>
      <w:r>
        <w:rPr>
          <w:rFonts w:ascii="Arial" w:cs="Arial" w:eastAsia="Arial" w:hAnsi="Arial"/>
          <w:b/>
          <w:bCs/>
          <w:sz w:val="28"/>
          <w:szCs w:val="28"/>
        </w:rPr>
        <w:t xml:space="preserve">4.2 Feature Engineering for Classification</w:t>
      </w:r>
    </w:p>
    <w:p>
      <w:pPr>
        <w:spacing w:after="160" w:line="276"/>
        <w:jc w:val="both"/>
      </w:pPr>
      <w:r>
        <w:rPr>
          <w:rFonts w:ascii="Arial" w:cs="Arial" w:eastAsia="Arial" w:hAnsi="Arial"/>
          <w:sz w:val="24"/>
          <w:szCs w:val="24"/>
        </w:rPr>
        <w:t xml:space="preserve">For classification, we switch from per-window MinMax-normalized prices to return-based features with global z-score normalization. This is a critical design choice: per-window MinMax destroys directional information (uptrends and downtrends look identical after normalization), while returns inherently preserve directionality.</w:t>
      </w:r>
    </w:p>
    <w:p>
      <w:pPr>
        <w:spacing w:after="160" w:line="276"/>
        <w:jc w:val="both"/>
      </w:pPr>
      <w:r>
        <w:rPr>
          <w:rFonts w:ascii="Arial" w:cs="Arial" w:eastAsia="Arial" w:hAnsi="Arial"/>
          <w:sz w:val="24"/>
          <w:szCs w:val="24"/>
        </w:rPr>
        <w:t xml:space="preserve">The classification feature set includes 17 features: multi-horizon returns (1, 3, 5, 10, 20 days), momentum indicators (RSI, MACD histogram, Stochastic %K), volatility measures (Bollinger Band width, ATR ratio), and volume signals (volume ratio, OBV slope).</w:t>
      </w:r>
    </w:p>
    <w:p>
      <w:pPr>
        <w:pStyle w:val="Heading2"/>
        <w:spacing w:after="200" w:before="240"/>
      </w:pPr>
      <w:r>
        <w:rPr>
          <w:rFonts w:ascii="Arial" w:cs="Arial" w:eastAsia="Arial" w:hAnsi="Arial"/>
          <w:b/>
          <w:bCs/>
          <w:sz w:val="28"/>
          <w:szCs w:val="28"/>
        </w:rPr>
        <w:t xml:space="preserve">4.3 Results with PR-AUC and Threshold Tuning</w:t>
      </w:r>
    </w:p>
    <w:p>
      <w:pPr>
        <w:spacing w:after="160" w:line="276"/>
        <w:jc w:val="both"/>
      </w:pPr>
      <w:r>
        <w:rPr>
          <w:rFonts w:ascii="Arial" w:cs="Arial" w:eastAsia="Arial" w:hAnsi="Arial"/>
          <w:sz w:val="24"/>
          <w:szCs w:val="24"/>
        </w:rPr>
        <w:t xml:space="preserve">We evaluate models using ROC-AUC, PR-AUC (Precision-Recall AUC, more informative for imbalanced datasets), and F1-score with optimized thresholds. The classification threshold is tuned on the validation set by maximizing F1 score, rather than using the default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4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ROC-AUC</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PR-AUC</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F1</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14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Forest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0.234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LSTM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0.269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0.393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0.386</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0.556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0.396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0.425</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Conv1D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0.557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0.394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w:t>
            </w:r>
          </w:p>
        </w:tc>
      </w:tr>
    </w:tbl>
    <w:p>
      <w:pPr>
        <w:spacing w:after="80"/>
      </w:pPr>
    </w:p>
    <w:p>
      <w:pPr>
        <w:spacing w:after="160" w:line="276"/>
        <w:jc w:val="both"/>
      </w:pPr>
      <w:r>
        <w:rPr>
          <w:rFonts w:ascii="Arial" w:cs="Arial" w:eastAsia="Arial" w:hAnsi="Arial"/>
          <w:sz w:val="24"/>
          <w:szCs w:val="24"/>
        </w:rPr>
        <w:t xml:space="preserve">Deep learning models (AUC 0.53-0.56) outperform tree baselines (AUC ~0.50), confirming that sequential patterns matter for signal detection. However, AUC near 0.55 is realistic for stock prediction and consistent with the Efficient Market Hypothesis.</w:t>
      </w:r>
    </w:p>
    <w:p>
      <w:pPr>
        <w:pStyle w:val="Heading2"/>
        <w:spacing w:after="200" w:before="240"/>
      </w:pPr>
      <w:r>
        <w:rPr>
          <w:rFonts w:ascii="Arial" w:cs="Arial" w:eastAsia="Arial" w:hAnsi="Arial"/>
          <w:b/>
          <w:bCs/>
          <w:sz w:val="28"/>
          <w:szCs w:val="28"/>
        </w:rPr>
        <w:t xml:space="preserve">4.4 Rolling Cross-Validation and Stability</w:t>
      </w:r>
    </w:p>
    <w:p>
      <w:pPr>
        <w:spacing w:after="160" w:line="276"/>
        <w:jc w:val="both"/>
      </w:pPr>
      <w:r>
        <w:rPr>
          <w:rFonts w:ascii="Arial" w:cs="Arial" w:eastAsia="Arial" w:hAnsi="Arial"/>
          <w:sz w:val="24"/>
          <w:szCs w:val="24"/>
        </w:rPr>
        <w:t xml:space="preserve">Rolling time-series cross-validation (4 folds) reveals significant instability: Buy signal AUC ranges from 0.46 to 0.56 across folds, while Sell signal AUC degrades from 0.62 to 0.37 over time. This indicates the sell model captures regime-specific patterns that do not generalize across market conditions.</w:t>
      </w:r>
    </w:p>
    <w:p>
      <w:pPr>
        <w:pStyle w:val="Heading2"/>
        <w:spacing w:after="200" w:before="240"/>
      </w:pPr>
      <w:r>
        <w:rPr>
          <w:rFonts w:ascii="Arial" w:cs="Arial" w:eastAsia="Arial" w:hAnsi="Arial"/>
          <w:b/>
          <w:bCs/>
          <w:sz w:val="28"/>
          <w:szCs w:val="28"/>
        </w:rPr>
        <w:t xml:space="preserve">4.5 Trading Backtest</w:t>
      </w:r>
    </w:p>
    <w:p>
      <w:pPr>
        <w:spacing w:after="160" w:line="276"/>
        <w:jc w:val="both"/>
      </w:pPr>
      <w:r>
        <w:rPr>
          <w:rFonts w:ascii="Arial" w:cs="Arial" w:eastAsia="Arial" w:hAnsi="Arial"/>
          <w:sz w:val="24"/>
          <w:szCs w:val="24"/>
        </w:rPr>
        <w:t xml:space="preserve">A simple trading backtest on FPT stock with 0.15% transaction costs demonstrates that even a statistically non-random signal (AUC &gt; 0.50) can fail to generate profit. The strategy returns -41% versus buy-and-hold +11.5%, as transaction costs and false signals erode the small statistical edge. This is a sobering but honest result that underscores the gap between statistical significance and economic profitability.</w:t>
      </w:r>
    </w:p>
    <w:p>
      <w:pPr>
        <w:pStyle w:val="Heading1"/>
        <w:spacing w:after="200" w:before="360"/>
      </w:pPr>
      <w:r>
        <w:rPr>
          <w:rFonts w:ascii="Arial" w:cs="Arial" w:eastAsia="Arial" w:hAnsi="Arial"/>
          <w:b/>
          <w:bCs/>
          <w:sz w:val="32"/>
          <w:szCs w:val="32"/>
        </w:rPr>
        <w:t xml:space="preserve">5. Task 4: Portfolio Optimization</w:t>
      </w:r>
    </w:p>
    <w:p>
      <w:pPr>
        <w:pStyle w:val="Heading2"/>
        <w:spacing w:after="200" w:before="240"/>
      </w:pPr>
      <w:r>
        <w:rPr>
          <w:rFonts w:ascii="Arial" w:cs="Arial" w:eastAsia="Arial" w:hAnsi="Arial"/>
          <w:b/>
          <w:bCs/>
          <w:sz w:val="28"/>
          <w:szCs w:val="28"/>
        </w:rPr>
        <w:t xml:space="preserve">5.1 Stock Filtering and Profitability Scoring</w:t>
      </w:r>
    </w:p>
    <w:p>
      <w:pPr>
        <w:spacing w:after="160" w:line="276"/>
        <w:jc w:val="both"/>
      </w:pPr>
      <w:r>
        <w:rPr>
          <w:rFonts w:ascii="Arial" w:cs="Arial" w:eastAsia="Arial" w:hAnsi="Arial"/>
          <w:sz w:val="24"/>
          <w:szCs w:val="24"/>
        </w:rPr>
        <w:t xml:space="preserve">From 402 HOSE-listed companies, we apply a multi-stage filter: minimum 500 trading days, available financial data, and a liquidity threshold of 50,000 average daily shares traded. This yields 239 liquid stocks, from which we select the top 30 by market capitalization.</w:t>
      </w:r>
    </w:p>
    <w:p>
      <w:pPr>
        <w:spacing w:after="160" w:line="276"/>
        <w:jc w:val="both"/>
      </w:pPr>
      <w:r>
        <w:rPr>
          <w:rFonts w:ascii="Arial" w:cs="Arial" w:eastAsia="Arial" w:hAnsi="Arial"/>
          <w:sz w:val="24"/>
          <w:szCs w:val="24"/>
        </w:rPr>
        <w:t xml:space="preserve">Each stock receives a 7-factor composite profitability score: LSTM-predicted return (25%), dividend yield (15%), historical Sharpe ratio (15%), fundamental strength (15%), relative PE valuation (10%), historical return (10%), and price momentum (10%). The DL prediction receives the highest individual weight, justified by this being a deep learning course.</w:t>
      </w:r>
    </w:p>
    <w:p>
      <w:pPr>
        <w:pStyle w:val="Heading2"/>
        <w:spacing w:after="200" w:before="240"/>
      </w:pPr>
      <w:r>
        <w:rPr>
          <w:rFonts w:ascii="Arial" w:cs="Arial" w:eastAsia="Arial" w:hAnsi="Arial"/>
          <w:b/>
          <w:bCs/>
          <w:sz w:val="28"/>
          <w:szCs w:val="28"/>
        </w:rPr>
        <w:t xml:space="preserve">5.2 Risk Management</w:t>
      </w:r>
    </w:p>
    <w:p>
      <w:pPr>
        <w:spacing w:after="160" w:line="276"/>
        <w:jc w:val="both"/>
      </w:pPr>
      <w:r>
        <w:rPr>
          <w:rFonts w:ascii="Arial" w:cs="Arial" w:eastAsia="Arial" w:hAnsi="Arial"/>
          <w:sz w:val="24"/>
          <w:szCs w:val="24"/>
        </w:rPr>
        <w:t xml:space="preserve">We implement an 8-factor risk scoring heuristic: volatility, maximum drawdown, Value-at-Risk (95%), Conditional VaR, beta, debt-to-equity ratio, margin risk, and peer comparison. Rolling cross-validation shows weak risk-return correlation (average r=0.13), indicating that risk scores function best as an exclusion filter for high-risk stocks rather than as a predictive alpha signal.</w:t>
      </w:r>
    </w:p>
    <w:p>
      <w:pPr>
        <w:pStyle w:val="Heading2"/>
        <w:spacing w:after="200" w:before="240"/>
      </w:pPr>
      <w:r>
        <w:rPr>
          <w:rFonts w:ascii="Arial" w:cs="Arial" w:eastAsia="Arial" w:hAnsi="Arial"/>
          <w:b/>
          <w:bCs/>
          <w:sz w:val="28"/>
          <w:szCs w:val="28"/>
        </w:rPr>
        <w:t xml:space="preserve">5.3 Portfolio Construction: Three Approaches</w:t>
      </w:r>
    </w:p>
    <w:p>
      <w:pPr>
        <w:spacing w:after="160" w:line="276"/>
        <w:jc w:val="both"/>
      </w:pPr>
      <w:r>
        <w:rPr>
          <w:rFonts w:ascii="Arial" w:cs="Arial" w:eastAsia="Arial" w:hAnsi="Arial"/>
          <w:sz w:val="24"/>
          <w:szCs w:val="24"/>
        </w:rPr>
        <w:t xml:space="preserve">We compare three portfolio construction methods:</w:t>
      </w:r>
    </w:p>
    <w:p>
      <w:pPr>
        <w:pStyle w:val="ListParagraph"/>
        <w:numPr>
          <w:ilvl w:val="0"/>
          <w:numId w:val="2"/>
        </w:numPr>
        <w:spacing w:after="120" w:line="276"/>
      </w:pPr>
      <w:r>
        <w:rPr>
          <w:rFonts w:ascii="Arial" w:cs="Arial" w:eastAsia="Arial" w:hAnsi="Arial"/>
          <w:b/>
          <w:bCs/>
          <w:sz w:val="24"/>
          <w:szCs w:val="24"/>
        </w:rPr>
        <w:t xml:space="preserve">Classical Markowitz: </w:t>
      </w:r>
      <w:r>
        <w:rPr>
          <w:rFonts w:ascii="Arial" w:cs="Arial" w:eastAsia="Arial" w:hAnsi="Arial"/>
          <w:sz w:val="24"/>
          <w:szCs w:val="24"/>
        </w:rPr>
        <w:t xml:space="preserve">Mean-variance optimization using historical returns only.</w:t>
      </w:r>
    </w:p>
    <w:p>
      <w:pPr>
        <w:pStyle w:val="ListParagraph"/>
        <w:numPr>
          <w:ilvl w:val="0"/>
          <w:numId w:val="2"/>
        </w:numPr>
        <w:spacing w:after="120" w:line="276"/>
      </w:pPr>
      <w:r>
        <w:rPr>
          <w:rFonts w:ascii="Arial" w:cs="Arial" w:eastAsia="Arial" w:hAnsi="Arial"/>
          <w:b/>
          <w:bCs/>
          <w:sz w:val="24"/>
          <w:szCs w:val="24"/>
        </w:rPr>
        <w:t xml:space="preserve">DL-Enhanced Markowitz (Primary): </w:t>
      </w:r>
      <w:r>
        <w:rPr>
          <w:rFonts w:ascii="Arial" w:cs="Arial" w:eastAsia="Arial" w:hAnsi="Arial"/>
          <w:sz w:val="24"/>
          <w:szCs w:val="24"/>
        </w:rPr>
        <w:t xml:space="preserve">Blends 60% historical returns with 40% LSTM-predicted returns, then optimizes. The 40% DL blend weight is a heuristic.</w:t>
      </w:r>
    </w:p>
    <w:p>
      <w:pPr>
        <w:pStyle w:val="ListParagraph"/>
        <w:numPr>
          <w:ilvl w:val="0"/>
          <w:numId w:val="2"/>
        </w:numPr>
        <w:spacing w:after="120" w:line="276"/>
      </w:pPr>
      <w:r>
        <w:rPr>
          <w:rFonts w:ascii="Arial" w:cs="Arial" w:eastAsia="Arial" w:hAnsi="Arial"/>
          <w:b/>
          <w:bCs/>
          <w:sz w:val="24"/>
          <w:szCs w:val="24"/>
        </w:rPr>
        <w:t xml:space="preserve">Risk Parity: </w:t>
      </w:r>
      <w:r>
        <w:rPr>
          <w:rFonts w:ascii="Arial" w:cs="Arial" w:eastAsia="Arial" w:hAnsi="Arial"/>
          <w:sz w:val="24"/>
          <w:szCs w:val="24"/>
        </w:rPr>
        <w:t xml:space="preserve">Inverse-volatility weighting tilted by DL predictions.</w:t>
      </w:r>
    </w:p>
    <w:p>
      <w:pPr>
        <w:spacing w:after="80"/>
      </w:pPr>
    </w:p>
    <w:p>
      <w:pPr>
        <w:spacing w:after="160" w:line="276"/>
        <w:jc w:val="both"/>
      </w:pPr>
      <w:r>
        <w:rPr>
          <w:rFonts w:ascii="Arial" w:cs="Arial" w:eastAsia="Arial" w:hAnsi="Arial"/>
          <w:b/>
          <w:bCs/>
          <w:sz w:val="24"/>
          <w:szCs w:val="24"/>
        </w:rPr>
        <w:t xml:space="preserve">Result: </w:t>
      </w:r>
      <w:r>
        <w:rPr>
          <w:rFonts w:ascii="Arial" w:cs="Arial" w:eastAsia="Arial" w:hAnsi="Arial"/>
          <w:sz w:val="24"/>
          <w:szCs w:val="24"/>
        </w:rPr>
        <w:t xml:space="preserve">DL-Enhanced Markowitz improves ex-ante Sharpe ratio by an average of +0.95 compared to Classical Markowitz across three investor profiles (Aggressive, Balanced, Conservative). This demonstrates that LSTM predictions can meaningfully shift portfolio allocation, though validation via rolling out-of-sample backtest would be needed to confirm real economic value.</w:t>
      </w:r>
    </w:p>
    <w:p>
      <w:pPr>
        <w:spacing w:after="160" w:line="276"/>
        <w:jc w:val="both"/>
      </w:pPr>
      <w:r>
        <w:rPr>
          <w:rFonts w:ascii="Arial" w:cs="Arial" w:eastAsia="Arial" w:hAnsi="Arial"/>
          <w:sz w:val="24"/>
          <w:szCs w:val="24"/>
        </w:rPr>
        <w:t xml:space="preserve">Three investor profiles are provided: Aggressive (max return, 25% weight cap), Balanced (max Sharpe, 20% cap), and Conservative (min volatility, 15% cap with high-risk stock exclusion).</w:t>
      </w:r>
    </w:p>
    <w:p>
      <w:pPr>
        <w:pStyle w:val="Heading1"/>
        <w:spacing w:after="200" w:before="360"/>
      </w:pPr>
      <w:r>
        <w:rPr>
          <w:rFonts w:ascii="Arial" w:cs="Arial" w:eastAsia="Arial" w:hAnsi="Arial"/>
          <w:b/>
          <w:bCs/>
          <w:sz w:val="32"/>
          <w:szCs w:val="32"/>
        </w:rPr>
        <w:t xml:space="preserve">6. Task 5: Model Deployment (Extra Credit)</w:t>
      </w:r>
    </w:p>
    <w:p>
      <w:pPr>
        <w:pStyle w:val="Heading2"/>
        <w:spacing w:after="200" w:before="240"/>
      </w:pPr>
      <w:r>
        <w:rPr>
          <w:rFonts w:ascii="Arial" w:cs="Arial" w:eastAsia="Arial" w:hAnsi="Arial"/>
          <w:b/>
          <w:bCs/>
          <w:sz w:val="28"/>
          <w:szCs w:val="28"/>
        </w:rPr>
        <w:t xml:space="preserve">6.1 REST API (Task 5.1)</w:t>
      </w:r>
    </w:p>
    <w:p>
      <w:pPr>
        <w:spacing w:after="160" w:line="276"/>
        <w:jc w:val="both"/>
      </w:pPr>
      <w:r>
        <w:rPr>
          <w:rFonts w:ascii="Arial" w:cs="Arial" w:eastAsia="Arial" w:hAnsi="Arial"/>
          <w:sz w:val="24"/>
          <w:szCs w:val="24"/>
        </w:rPr>
        <w:t xml:space="preserve">We deploy the trained LSTM models as a FastAPI REST API service. Models are exported as TensorFlow SavedModel format and loaded at server startup. The API provides three endpoints: POST /predict (accepts raw OHLCV window, applies per-window MinMax normalization internally, returns predicted price in VND), GET /models (lists available models with metadata), and GET /health (health check).</w:t>
      </w:r>
    </w:p>
    <w:p>
      <w:pPr>
        <w:spacing w:after="160" w:line="276"/>
        <w:jc w:val="both"/>
      </w:pPr>
      <w:r>
        <w:rPr>
          <w:rFonts w:ascii="Arial" w:cs="Arial" w:eastAsia="Arial" w:hAnsi="Arial"/>
          <w:sz w:val="24"/>
          <w:szCs w:val="24"/>
        </w:rPr>
        <w:t xml:space="preserve">The API handles the full inference pipeline: input validation, per-window normalization matching the training pipeline, model inference, and inverse transformation to original price scale. A Dockerfile is provided for containerized deployment.</w:t>
      </w:r>
    </w:p>
    <w:p>
      <w:pPr>
        <w:spacing w:after="160" w:line="276"/>
        <w:jc w:val="both"/>
      </w:pPr>
      <w:r>
        <w:rPr>
          <w:rFonts w:ascii="Arial" w:cs="Arial" w:eastAsia="Arial" w:hAnsi="Arial"/>
          <w:b/>
          <w:bCs/>
          <w:sz w:val="24"/>
          <w:szCs w:val="24"/>
        </w:rPr>
        <w:t xml:space="preserve">How to start: </w:t>
      </w:r>
      <w:r>
        <w:rPr>
          <w:rFonts w:ascii="Arial" w:cs="Arial" w:eastAsia="Arial" w:hAnsi="Arial"/>
          <w:sz w:val="24"/>
          <w:szCs w:val="24"/>
        </w:rPr>
        <w:t xml:space="preserve">uvicorn main:app --host 0.0.0.0 --port 8000</w:t>
      </w:r>
    </w:p>
    <w:p>
      <w:pPr>
        <w:spacing w:after="160" w:line="276"/>
        <w:jc w:val="both"/>
      </w:pPr>
      <w:r>
        <w:rPr>
          <w:rFonts w:ascii="Arial" w:cs="Arial" w:eastAsia="Arial" w:hAnsi="Arial"/>
          <w:b/>
          <w:bCs/>
          <w:sz w:val="24"/>
          <w:szCs w:val="24"/>
        </w:rPr>
        <w:t xml:space="preserve">Sample request: </w:t>
      </w:r>
      <w:r>
        <w:rPr>
          <w:rFonts w:ascii="Arial" w:cs="Arial" w:eastAsia="Arial" w:hAnsi="Arial"/>
          <w:sz w:val="24"/>
          <w:szCs w:val="24"/>
        </w:rPr>
        <w:t xml:space="preserve">curl -X POST http://localhost:8000/predict -H 'Content-Type: application/json' -d '{"ticker": "FPT", "window": [[...30 rows of 15 features...]]}'</w:t>
      </w:r>
    </w:p>
    <w:p>
      <w:pPr>
        <w:spacing w:after="160" w:line="276"/>
        <w:jc w:val="both"/>
      </w:pPr>
      <w:r>
        <w:rPr>
          <w:rFonts w:ascii="Arial" w:cs="Arial" w:eastAsia="Arial" w:hAnsi="Arial"/>
          <w:b/>
          <w:bCs/>
          <w:sz w:val="24"/>
          <w:szCs w:val="24"/>
        </w:rPr>
        <w:t xml:space="preserve">Sample response: </w:t>
      </w:r>
      <w:r>
        <w:rPr>
          <w:rFonts w:ascii="Arial" w:cs="Arial" w:eastAsia="Arial" w:hAnsi="Arial"/>
          <w:sz w:val="24"/>
          <w:szCs w:val="24"/>
        </w:rPr>
        <w:t xml:space="preserve">{"ticker": "FPT", "predicted_price": 125400.50, "normalized_prediction": 0.6523, "model_test_mae": 0.1168}</w:t>
      </w:r>
    </w:p>
    <w:p>
      <w:pPr>
        <w:pStyle w:val="Heading2"/>
        <w:spacing w:after="200" w:before="240"/>
      </w:pPr>
      <w:r>
        <w:rPr>
          <w:rFonts w:ascii="Arial" w:cs="Arial" w:eastAsia="Arial" w:hAnsi="Arial"/>
          <w:b/>
          <w:bCs/>
          <w:sz w:val="28"/>
          <w:szCs w:val="28"/>
        </w:rPr>
        <w:t xml:space="preserve">6.2 Streamlit Web Application (Task 5.2)</w:t>
      </w:r>
    </w:p>
    <w:p>
      <w:pPr>
        <w:spacing w:after="160" w:line="276"/>
        <w:jc w:val="both"/>
      </w:pPr>
      <w:r>
        <w:rPr>
          <w:rFonts w:ascii="Arial" w:cs="Arial" w:eastAsia="Arial" w:hAnsi="Arial"/>
          <w:sz w:val="24"/>
          <w:szCs w:val="24"/>
        </w:rPr>
        <w:t xml:space="preserve">A Streamlit-based web interface provides an interactive dashboard for stock prediction. Users select a ticker from a dropdown, and the application automatically loads the latest data, computes technical indicators, and runs the LSTM model to display a next-day price prediction.</w:t>
      </w:r>
    </w:p>
    <w:p>
      <w:pPr>
        <w:spacing w:after="160" w:line="276"/>
        <w:jc w:val="both"/>
      </w:pPr>
      <w:r>
        <w:rPr>
          <w:rFonts w:ascii="Arial" w:cs="Arial" w:eastAsia="Arial" w:hAnsi="Arial"/>
          <w:sz w:val="24"/>
          <w:szCs w:val="24"/>
        </w:rPr>
        <w:t xml:space="preserve">The dashboard features interactive Plotly charts (candlestick with Bollinger Bands, MACD histogram, RSI), recent data tables, and clear disclaimer about the academic nature of the predictions. The application can run in standalone mode (loading models locally) or call the FastAPI backend.</w:t>
      </w:r>
    </w:p>
    <w:p>
      <w:pPr>
        <w:spacing w:after="160" w:line="276"/>
        <w:jc w:val="both"/>
      </w:pPr>
      <w:r>
        <w:rPr>
          <w:rFonts w:ascii="Arial" w:cs="Arial" w:eastAsia="Arial" w:hAnsi="Arial"/>
          <w:b/>
          <w:bCs/>
          <w:sz w:val="24"/>
          <w:szCs w:val="24"/>
        </w:rPr>
        <w:t xml:space="preserve">How to start: </w:t>
      </w:r>
      <w:r>
        <w:rPr>
          <w:rFonts w:ascii="Arial" w:cs="Arial" w:eastAsia="Arial" w:hAnsi="Arial"/>
          <w:sz w:val="24"/>
          <w:szCs w:val="24"/>
        </w:rPr>
        <w:t xml:space="preserve">streamlit run app.py</w:t>
      </w:r>
    </w:p>
    <w:p>
      <w:pPr>
        <w:pStyle w:val="Heading2"/>
        <w:spacing w:after="200" w:before="240"/>
      </w:pPr>
      <w:r>
        <w:rPr>
          <w:rFonts w:ascii="Arial" w:cs="Arial" w:eastAsia="Arial" w:hAnsi="Arial"/>
          <w:b/>
          <w:bCs/>
          <w:sz w:val="28"/>
          <w:szCs w:val="28"/>
        </w:rPr>
        <w:t xml:space="preserve">6.3 AI Engineering Workflow (Task 5.3)</w:t>
      </w:r>
    </w:p>
    <w:p>
      <w:pPr>
        <w:spacing w:after="160" w:line="276"/>
        <w:jc w:val="both"/>
      </w:pPr>
      <w:r>
        <w:rPr>
          <w:rFonts w:ascii="Arial" w:cs="Arial" w:eastAsia="Arial" w:hAnsi="Arial"/>
          <w:sz w:val="24"/>
          <w:szCs w:val="24"/>
        </w:rPr>
        <w:t xml:space="preserve">We design a fully automated engineering workflow using industry-standard tools:</w:t>
      </w:r>
    </w:p>
    <w:p>
      <w:pPr>
        <w:pStyle w:val="ListParagraph"/>
        <w:numPr>
          <w:ilvl w:val="0"/>
          <w:numId w:val="3"/>
        </w:numPr>
        <w:spacing w:after="100" w:line="276"/>
      </w:pPr>
      <w:r>
        <w:rPr>
          <w:rFonts w:ascii="Arial" w:cs="Arial" w:eastAsia="Arial" w:hAnsi="Arial"/>
          <w:b/>
          <w:bCs/>
          <w:sz w:val="24"/>
          <w:szCs w:val="24"/>
        </w:rPr>
        <w:t xml:space="preserve">Airbyte: </w:t>
      </w:r>
      <w:r>
        <w:rPr>
          <w:rFonts w:ascii="Arial" w:cs="Arial" w:eastAsia="Arial" w:hAnsi="Arial"/>
          <w:sz w:val="24"/>
          <w:szCs w:val="24"/>
        </w:rPr>
        <w:t xml:space="preserve">Automatically syncs daily OHLCV data from Vietnam stock market APIs to PostgreSQL raw schema.</w:t>
      </w:r>
    </w:p>
    <w:p>
      <w:pPr>
        <w:pStyle w:val="ListParagraph"/>
        <w:numPr>
          <w:ilvl w:val="0"/>
          <w:numId w:val="3"/>
        </w:numPr>
        <w:spacing w:after="100" w:line="276"/>
      </w:pPr>
      <w:r>
        <w:rPr>
          <w:rFonts w:ascii="Arial" w:cs="Arial" w:eastAsia="Arial" w:hAnsi="Arial"/>
          <w:b/>
          <w:bCs/>
          <w:sz w:val="24"/>
          <w:szCs w:val="24"/>
        </w:rPr>
        <w:t xml:space="preserve">dbt: </w:t>
      </w:r>
      <w:r>
        <w:rPr>
          <w:rFonts w:ascii="Arial" w:cs="Arial" w:eastAsia="Arial" w:hAnsi="Arial"/>
          <w:sz w:val="24"/>
          <w:szCs w:val="24"/>
        </w:rPr>
        <w:t xml:space="preserve">Transforms raw prices into feature tables (stg_stock_prices staging model, then technical_indicators mart with SMA, MACD, RSI, Bollinger Bands).</w:t>
      </w:r>
    </w:p>
    <w:p>
      <w:pPr>
        <w:pStyle w:val="ListParagraph"/>
        <w:numPr>
          <w:ilvl w:val="0"/>
          <w:numId w:val="3"/>
        </w:numPr>
        <w:spacing w:after="100" w:line="276"/>
      </w:pPr>
      <w:r>
        <w:rPr>
          <w:rFonts w:ascii="Arial" w:cs="Arial" w:eastAsia="Arial" w:hAnsi="Arial"/>
          <w:b/>
          <w:bCs/>
          <w:sz w:val="24"/>
          <w:szCs w:val="24"/>
        </w:rPr>
        <w:t xml:space="preserve">Apache Airflow: </w:t>
      </w:r>
      <w:r>
        <w:rPr>
          <w:rFonts w:ascii="Arial" w:cs="Arial" w:eastAsia="Arial" w:hAnsi="Arial"/>
          <w:sz w:val="24"/>
          <w:szCs w:val="24"/>
        </w:rPr>
        <w:t xml:space="preserve">Orchestrates the entire pipeline via a DAG scheduled at 18:00 ICT daily (after market close): ingest, transform, predict, store, notify.</w:t>
      </w:r>
    </w:p>
    <w:p>
      <w:pPr>
        <w:pStyle w:val="ListParagraph"/>
        <w:numPr>
          <w:ilvl w:val="0"/>
          <w:numId w:val="3"/>
        </w:numPr>
        <w:spacing w:after="100" w:line="276"/>
      </w:pPr>
      <w:r>
        <w:rPr>
          <w:rFonts w:ascii="Arial" w:cs="Arial" w:eastAsia="Arial" w:hAnsi="Arial"/>
          <w:b/>
          <w:bCs/>
          <w:sz w:val="24"/>
          <w:szCs w:val="24"/>
        </w:rPr>
        <w:t xml:space="preserve">PostgreSQL: </w:t>
      </w:r>
      <w:r>
        <w:rPr>
          <w:rFonts w:ascii="Arial" w:cs="Arial" w:eastAsia="Arial" w:hAnsi="Arial"/>
          <w:sz w:val="24"/>
          <w:szCs w:val="24"/>
        </w:rPr>
        <w:t xml:space="preserve">Stores raw data, transformed features, and prediction results with proper indexing.</w:t>
      </w:r>
    </w:p>
    <w:p>
      <w:pPr>
        <w:spacing w:after="80"/>
      </w:pPr>
    </w:p>
    <w:p>
      <w:pPr>
        <w:spacing w:after="160" w:line="276"/>
        <w:jc w:val="both"/>
      </w:pPr>
      <w:r>
        <w:rPr>
          <w:rFonts w:ascii="Arial" w:cs="Arial" w:eastAsia="Arial" w:hAnsi="Arial"/>
          <w:sz w:val="24"/>
          <w:szCs w:val="24"/>
        </w:rPr>
        <w:t xml:space="preserve">The entire stack is containerized via Docker Compose with five services: PostgreSQL, FastAPI, Streamlit, Airflow, and the prediction worker. A Mermaid architecture diagram documents the data flow from sources through ingestion, transformation, prediction, and serving.</w:t>
      </w:r>
    </w:p>
    <w:p>
      <w:pPr>
        <w:pStyle w:val="Heading1"/>
        <w:spacing w:after="200" w:before="360"/>
      </w:pPr>
      <w:r>
        <w:rPr>
          <w:rFonts w:ascii="Arial" w:cs="Arial" w:eastAsia="Arial" w:hAnsi="Arial"/>
          <w:b/>
          <w:bCs/>
          <w:sz w:val="32"/>
          <w:szCs w:val="32"/>
        </w:rPr>
        <w:t xml:space="preserve">7. Conclusions and Lessons Learned</w:t>
      </w:r>
    </w:p>
    <w:p>
      <w:pPr>
        <w:pStyle w:val="Heading2"/>
        <w:spacing w:after="200" w:before="240"/>
      </w:pPr>
      <w:r>
        <w:rPr>
          <w:rFonts w:ascii="Arial" w:cs="Arial" w:eastAsia="Arial" w:hAnsi="Arial"/>
          <w:b/>
          <w:bCs/>
          <w:sz w:val="28"/>
          <w:szCs w:val="28"/>
        </w:rPr>
        <w:t xml:space="preserve">7.1 Key Findings</w:t>
      </w:r>
    </w:p>
    <w:p>
      <w:pPr>
        <w:spacing w:after="160" w:line="276"/>
        <w:jc w:val="both"/>
      </w:pPr>
      <w:r>
        <w:rPr>
          <w:rFonts w:ascii="Arial" w:cs="Arial" w:eastAsia="Arial" w:hAnsi="Arial"/>
          <w:sz w:val="24"/>
          <w:szCs w:val="24"/>
        </w:rPr>
        <w:t xml:space="preserve">This project reveals several important lessons about applying deep learning to financial time-series:</w:t>
      </w:r>
    </w:p>
    <w:p>
      <w:pPr>
        <w:pStyle w:val="ListParagraph"/>
        <w:numPr>
          <w:ilvl w:val="0"/>
          <w:numId w:val="2"/>
        </w:numPr>
        <w:spacing w:after="120" w:line="276"/>
      </w:pPr>
      <w:r>
        <w:rPr>
          <w:rFonts w:ascii="Arial" w:cs="Arial" w:eastAsia="Arial" w:hAnsi="Arial"/>
          <w:b/>
          <w:bCs/>
          <w:sz w:val="24"/>
          <w:szCs w:val="24"/>
        </w:rPr>
        <w:t xml:space="preserve">The naive baseline is king at short horizons. </w:t>
      </w:r>
      <w:r>
        <w:rPr>
          <w:rFonts w:ascii="Arial" w:cs="Arial" w:eastAsia="Arial" w:hAnsi="Arial"/>
          <w:sz w:val="24"/>
          <w:szCs w:val="24"/>
        </w:rPr>
        <w:t xml:space="preserve">For next-day prediction, no model consistently beats the persistence baseline. This is expected given strong price autocorrelation and is consistent with weak-form market efficiency.</w:t>
      </w:r>
    </w:p>
    <w:p>
      <w:pPr>
        <w:pStyle w:val="ListParagraph"/>
        <w:numPr>
          <w:ilvl w:val="0"/>
          <w:numId w:val="2"/>
        </w:numPr>
        <w:spacing w:after="120" w:line="276"/>
      </w:pPr>
      <w:r>
        <w:rPr>
          <w:rFonts w:ascii="Arial" w:cs="Arial" w:eastAsia="Arial" w:hAnsi="Arial"/>
          <w:b/>
          <w:bCs/>
          <w:sz w:val="24"/>
          <w:szCs w:val="24"/>
        </w:rPr>
        <w:t xml:space="preserve">Feature representation matters more than architecture. </w:t>
      </w:r>
      <w:r>
        <w:rPr>
          <w:rFonts w:ascii="Arial" w:cs="Arial" w:eastAsia="Arial" w:hAnsi="Arial"/>
          <w:sz w:val="24"/>
          <w:szCs w:val="24"/>
        </w:rPr>
        <w:t xml:space="preserve">Switching from normalized prices to return-based features was the single biggest improvement for classification tasks, not making models deeper or wider.</w:t>
      </w:r>
    </w:p>
    <w:p>
      <w:pPr>
        <w:pStyle w:val="ListParagraph"/>
        <w:numPr>
          <w:ilvl w:val="0"/>
          <w:numId w:val="2"/>
        </w:numPr>
        <w:spacing w:after="120" w:line="276"/>
      </w:pPr>
      <w:r>
        <w:rPr>
          <w:rFonts w:ascii="Arial" w:cs="Arial" w:eastAsia="Arial" w:hAnsi="Arial"/>
          <w:b/>
          <w:bCs/>
          <w:sz w:val="24"/>
          <w:szCs w:val="24"/>
        </w:rPr>
        <w:t xml:space="preserve">More features can hurt. </w:t>
      </w:r>
      <w:r>
        <w:rPr>
          <w:rFonts w:ascii="Arial" w:cs="Arial" w:eastAsia="Arial" w:hAnsi="Arial"/>
          <w:sz w:val="24"/>
          <w:szCs w:val="24"/>
        </w:rPr>
        <w:t xml:space="preserve">The curse of dimensionality is real: single-feature models outperform 15-feature models at k=1. Each additional feature must carry genuine independent signal to justify inclusion.</w:t>
      </w:r>
    </w:p>
    <w:p>
      <w:pPr>
        <w:pStyle w:val="ListParagraph"/>
        <w:numPr>
          <w:ilvl w:val="0"/>
          <w:numId w:val="2"/>
        </w:numPr>
        <w:spacing w:after="120" w:line="276"/>
      </w:pPr>
      <w:r>
        <w:rPr>
          <w:rFonts w:ascii="Arial" w:cs="Arial" w:eastAsia="Arial" w:hAnsi="Arial"/>
          <w:b/>
          <w:bCs/>
          <w:sz w:val="24"/>
          <w:szCs w:val="24"/>
        </w:rPr>
        <w:t xml:space="preserve">Statistical edge does not equal profit. </w:t>
      </w:r>
      <w:r>
        <w:rPr>
          <w:rFonts w:ascii="Arial" w:cs="Arial" w:eastAsia="Arial" w:hAnsi="Arial"/>
          <w:sz w:val="24"/>
          <w:szCs w:val="24"/>
        </w:rPr>
        <w:t xml:space="preserve">The trading backtest demonstrates that AUC &gt; 0.50 is insufficient for profitable trading after transaction costs.</w:t>
      </w:r>
    </w:p>
    <w:p>
      <w:pPr>
        <w:pStyle w:val="ListParagraph"/>
        <w:numPr>
          <w:ilvl w:val="0"/>
          <w:numId w:val="2"/>
        </w:numPr>
        <w:spacing w:after="120" w:line="276"/>
      </w:pPr>
      <w:r>
        <w:rPr>
          <w:rFonts w:ascii="Arial" w:cs="Arial" w:eastAsia="Arial" w:hAnsi="Arial"/>
          <w:b/>
          <w:bCs/>
          <w:sz w:val="24"/>
          <w:szCs w:val="24"/>
        </w:rPr>
        <w:t xml:space="preserve">Preprocessing can sabotage models. </w:t>
      </w:r>
      <w:r>
        <w:rPr>
          <w:rFonts w:ascii="Arial" w:cs="Arial" w:eastAsia="Arial" w:hAnsi="Arial"/>
          <w:sz w:val="24"/>
          <w:szCs w:val="24"/>
        </w:rPr>
        <w:t xml:space="preserve">Per-window MinMax normalization destroys directional information critical for classification. Always understand what information your normalization preserves and destroys.</w:t>
      </w:r>
    </w:p>
    <w:p>
      <w:pPr>
        <w:pStyle w:val="Heading2"/>
        <w:spacing w:after="200" w:before="240"/>
      </w:pPr>
      <w:r>
        <w:rPr>
          <w:rFonts w:ascii="Arial" w:cs="Arial" w:eastAsia="Arial" w:hAnsi="Arial"/>
          <w:b/>
          <w:bCs/>
          <w:sz w:val="28"/>
          <w:szCs w:val="28"/>
        </w:rPr>
        <w:t xml:space="preserve">7.2 Limitations and Future Work</w:t>
      </w:r>
    </w:p>
    <w:p>
      <w:pPr>
        <w:spacing w:after="160" w:line="276"/>
        <w:jc w:val="both"/>
      </w:pPr>
      <w:r>
        <w:rPr>
          <w:rFonts w:ascii="Arial" w:cs="Arial" w:eastAsia="Arial" w:hAnsi="Arial"/>
          <w:sz w:val="24"/>
          <w:szCs w:val="24"/>
        </w:rPr>
        <w:t xml:space="preserve">Several limitations should be acknowledged. First, models do not beat naive baselines for regression, suggesting that the per-window normalization scheme may be suboptimal. Alternative approaches such as global z-score normalization or differencing could be explored. Second, the trading backtest covers only a single stock (FPT), limiting generalizability. Third, the portfolio optimization uses in-sample optimization rather than rolling out-of-sample backtesting.</w:t>
      </w:r>
    </w:p>
    <w:p>
      <w:pPr>
        <w:spacing w:after="160" w:line="276"/>
        <w:jc w:val="both"/>
      </w:pPr>
      <w:r>
        <w:rPr>
          <w:rFonts w:ascii="Arial" w:cs="Arial" w:eastAsia="Arial" w:hAnsi="Arial"/>
          <w:sz w:val="24"/>
          <w:szCs w:val="24"/>
        </w:rPr>
        <w:t xml:space="preserve">Future work could explore: transformer-based architectures (which have shown promise in recent financial ML literature), reinforcement learning for direct portfolio optimization, alternative data sources (news sentiment, social media), and multi-task learning to jointly predict price direction and volatility.</w:t>
      </w:r>
    </w:p>
    <w:p>
      <w:pPr>
        <w:pStyle w:val="Heading2"/>
        <w:spacing w:after="200" w:before="240"/>
      </w:pPr>
      <w:r>
        <w:rPr>
          <w:rFonts w:ascii="Arial" w:cs="Arial" w:eastAsia="Arial" w:hAnsi="Arial"/>
          <w:b/>
          <w:bCs/>
          <w:sz w:val="28"/>
          <w:szCs w:val="28"/>
        </w:rPr>
        <w:t xml:space="preserve">7.3 Technical Stack Summary</w:t>
      </w:r>
    </w:p>
    <w:p>
      <w:pPr>
        <w:spacing w:after="160" w:line="276"/>
        <w:jc w:val="both"/>
      </w:pPr>
      <w:r>
        <w:rPr>
          <w:rFonts w:ascii="Arial" w:cs="Arial" w:eastAsia="Arial" w:hAnsi="Arial"/>
          <w:sz w:val="24"/>
          <w:szCs w:val="24"/>
        </w:rPr>
        <w:t xml:space="preserve">The project uses Python 3.13 with TensorFlow/Keras for deep learning, scikit-learn for baselines, pandas/numpy for data processing, and matplotlib/plotly for visualization. Deployment uses FastAPI, Streamlit, Apache Airflow, dbt, and Docker. The complete codebase is available on GitHub with full documentation and reproducible instructions.</w:t>
      </w:r>
    </w:p>
    <w:p>
      <w:pPr>
        <w:spacing w:after="80"/>
      </w:pPr>
    </w:p>
    <w:p>
      <w:pPr>
        <w:spacing w:after="80"/>
      </w:pPr>
    </w:p>
    <w:p>
      <w:pPr>
        <w:spacing w:after="160" w:line="276"/>
        <w:jc w:val="both"/>
      </w:pPr>
      <w:r>
        <w:rPr>
          <w:rFonts w:ascii="Arial" w:cs="Arial" w:eastAsia="Arial" w:hAnsi="Arial"/>
          <w:i/>
          <w:iCs/>
          <w:color w:val="999999"/>
          <w:sz w:val="24"/>
          <w:szCs w:val="24"/>
        </w:rPr>
        <w:t xml:space="preserve">Word count: approximately 2,400 words.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DL4AI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2026-05-11T14:43:06.521Z</dcterms:created>
  <dcterms:modified xsi:type="dcterms:W3CDTF">2026-05-11T14:43:06.522Z</dcterms:modified>
</cp:coreProperties>
</file>

<file path=docProps/custom.xml><?xml version="1.0" encoding="utf-8"?>
<Properties xmlns="http://schemas.openxmlformats.org/officeDocument/2006/custom-properties" xmlns:vt="http://schemas.openxmlformats.org/officeDocument/2006/docPropsVTypes"/>
</file>