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400"/>
        <w:jc w:val="center"/>
      </w:pPr>
      <w:r>
        <w:rPr>
          <w:rFonts w:ascii="Times New Roman" w:cs="Times New Roman" w:eastAsia="Times New Roman" w:hAnsi="Times New Roman"/>
          <w:b/>
          <w:bCs/>
          <w:sz w:val="40"/>
          <w:szCs w:val="40"/>
        </w:rPr>
        <w:t xml:space="preserve">Time-Series Stock Market Prediction</w:t>
      </w:r>
    </w:p>
    <w:p>
      <w:pPr>
        <w:spacing w:after="160"/>
        <w:jc w:val="center"/>
      </w:pPr>
      <w:r>
        <w:rPr>
          <w:rFonts w:ascii="Times New Roman" w:cs="Times New Roman" w:eastAsia="Times New Roman" w:hAnsi="Times New Roman"/>
          <w:sz w:val="28"/>
          <w:szCs w:val="28"/>
        </w:rPr>
        <w:t xml:space="preserve">Using Deep Learning for Nasdaq and Vietnam Markets</w:t>
      </w:r>
    </w:p>
    <w:p>
      <w:pPr>
        <w:spacing w:after="80"/>
      </w:pPr>
    </w:p>
    <w:p>
      <w:pPr>
        <w:spacing w:after="80"/>
      </w:pPr>
    </w:p>
    <w:p>
      <w:pPr>
        <w:spacing w:after="80"/>
      </w:pPr>
    </w:p>
    <w:p>
      <w:pPr>
        <w:spacing w:after="120"/>
        <w:jc w:val="center"/>
      </w:pPr>
      <w:r>
        <w:rPr>
          <w:rFonts w:ascii="Times New Roman" w:cs="Times New Roman" w:eastAsia="Times New Roman" w:hAnsi="Times New Roman"/>
          <w:sz w:val="24"/>
          <w:szCs w:val="24"/>
        </w:rPr>
        <w:t xml:space="preserve">Hoa Thi Thuy Linh</w:t>
      </w:r>
    </w:p>
    <w:p>
      <w:pPr>
        <w:spacing w:after="120"/>
        <w:jc w:val="center"/>
      </w:pPr>
      <w:r>
        <w:rPr>
          <w:rFonts w:ascii="Times New Roman" w:cs="Times New Roman" w:eastAsia="Times New Roman" w:hAnsi="Times New Roman"/>
          <w:sz w:val="24"/>
          <w:szCs w:val="24"/>
        </w:rPr>
        <w:t xml:space="preserve">Student ID: 210225</w:t>
      </w:r>
    </w:p>
    <w:p>
      <w:pPr>
        <w:spacing w:after="120"/>
        <w:jc w:val="center"/>
      </w:pPr>
      <w:r>
        <w:rPr>
          <w:rFonts w:ascii="Times New Roman" w:cs="Times New Roman" w:eastAsia="Times New Roman" w:hAnsi="Times New Roman"/>
          <w:sz w:val="24"/>
          <w:szCs w:val="24"/>
        </w:rPr>
        <w:t xml:space="preserve">CS313 Deep Learning for Artificial Intelligence, Spring 2026</w:t>
      </w:r>
    </w:p>
    <w:p>
      <w:pPr>
        <w:spacing w:after="120"/>
        <w:jc w:val="center"/>
      </w:pPr>
      <w:r>
        <w:rPr>
          <w:rFonts w:ascii="Times New Roman" w:cs="Times New Roman" w:eastAsia="Times New Roman" w:hAnsi="Times New Roman"/>
          <w:sz w:val="24"/>
          <w:szCs w:val="24"/>
        </w:rPr>
        <w:t xml:space="preserve">Instructor: Dang Huynh</w:t>
      </w:r>
    </w:p>
    <w:p>
      <w:pPr>
        <w:spacing w:after="80"/>
      </w:pPr>
    </w:p>
    <w:p>
      <w:pPr>
        <w:sectPr>
          <w:pgSz w:w="12240" w:h="15840" w:orient="portrait"/>
          <w:pgMar w:top="1440" w:right="1440" w:bottom="1440" w:left="1440" w:header="708" w:footer="708" w:gutter="0"/>
          <w:pgNumType/>
          <w:docGrid w:linePitch="360"/>
        </w:sectPr>
      </w:pPr>
    </w:p>
    <w:p>
      <w:pPr>
        <w:pStyle w:val="Heading1"/>
      </w:pPr>
      <w:r>
        <w:rPr>
          <w:rFonts w:ascii="Times New Roman" w:cs="Times New Roman" w:eastAsia="Times New Roman" w:hAnsi="Times New Roman"/>
          <w:b/>
          <w:bCs/>
          <w:sz w:val="28"/>
          <w:szCs w:val="28"/>
        </w:rPr>
        <w:t xml:space="preserve">1. Introduction</w:t>
      </w:r>
    </w:p>
    <w:p>
      <w:pPr>
        <w:spacing w:after="160" w:line="276"/>
        <w:ind w:firstLine="720"/>
        <w:jc w:val="both"/>
      </w:pPr>
      <w:r>
        <w:rPr>
          <w:rFonts w:ascii="Times New Roman" w:cs="Times New Roman" w:eastAsia="Times New Roman" w:hAnsi="Times New Roman"/>
          <w:sz w:val="24"/>
          <w:szCs w:val="24"/>
        </w:rPr>
        <w:t xml:space="preserve">This report documents the complete journey of building a deep learning-based stock market prediction system for the CS313 Deep Learning final project. The system spans six major tasks: price prediction on Nasdaq and Vietnam (HOSE) markets, buy/sell trading signal identification, portfolio optimization with risk management, model deployment as a web service, and this report itself.</w:t>
      </w:r>
    </w:p>
    <w:p>
      <w:pPr>
        <w:spacing w:after="160" w:line="276"/>
        <w:ind w:firstLine="720"/>
        <w:jc w:val="both"/>
      </w:pPr>
      <w:r>
        <w:rPr>
          <w:rFonts w:ascii="Times New Roman" w:cs="Times New Roman" w:eastAsia="Times New Roman" w:hAnsi="Times New Roman"/>
          <w:sz w:val="24"/>
          <w:szCs w:val="24"/>
        </w:rPr>
        <w:t xml:space="preserve">The project uses two primary datasets. The Nasdaq dataset contains 1,564 company CSV files with daily OHLCV (Open, High, Low, Close, Adjusted Close, Volume) data spanning from 1980 to December 2022. The Vietnam dataset covers 402 companies listed on the Ho Chi Minh Stock Exchange (HOSE), including price data, dividend history, financial ratios, and industry classifications from 2012 onward.</w:t>
      </w:r>
    </w:p>
    <w:p>
      <w:pPr>
        <w:spacing w:after="160" w:line="276"/>
        <w:ind w:firstLine="720"/>
        <w:jc w:val="both"/>
      </w:pPr>
      <w:r>
        <w:rPr>
          <w:rFonts w:ascii="Times New Roman" w:cs="Times New Roman" w:eastAsia="Times New Roman" w:hAnsi="Times New Roman"/>
          <w:sz w:val="24"/>
          <w:szCs w:val="24"/>
        </w:rPr>
        <w:t xml:space="preserve">Throughout this work, we emphasize methodological rigor and honest evaluation. A recurring theme is that deep learning models do not always outperform simple baselines for stock prediction, and understanding why is more valuable than achieving artificially high scores.</w:t>
      </w:r>
    </w:p>
    <w:p>
      <w:pPr>
        <w:pStyle w:val="Heading2"/>
      </w:pPr>
      <w:r>
        <w:rPr>
          <w:rFonts w:ascii="Times New Roman" w:cs="Times New Roman" w:eastAsia="Times New Roman" w:hAnsi="Times New Roman"/>
          <w:b/>
          <w:bCs/>
          <w:sz w:val="26"/>
          <w:szCs w:val="26"/>
        </w:rPr>
        <w:t xml:space="preserve">1.1 Stock Selection Strategy</w:t>
      </w:r>
    </w:p>
    <w:p>
      <w:pPr>
        <w:spacing w:after="160" w:line="276"/>
        <w:jc w:val="both"/>
      </w:pPr>
      <w:r>
        <w:rPr>
          <w:rFonts w:ascii="Times New Roman" w:cs="Times New Roman" w:eastAsia="Times New Roman" w:hAnsi="Times New Roman"/>
          <w:sz w:val="24"/>
          <w:szCs w:val="24"/>
        </w:rPr>
        <w:t xml:space="preserve">For the Nasdaq dataset, we selected 11 stocks across four sectors (Technology, Healthcare, Consumer, Industrial) using three criteria: sufficient data history (7,000+ trading days), sector diversity for portfolio optimization, and behavioral variety (growth, stable, cyclical stocks). For Vietnam, we selected 8 representative HOSE stocks: FPT (Technology), VCB and ACB (Banking), VIC and VHM (Real Estate), VNM (Consumer), MWG (Consumer), and HPG (Steel).</w:t>
      </w:r>
    </w:p>
    <w:p>
      <w:pPr>
        <w:pStyle w:val="Heading2"/>
      </w:pPr>
      <w:r>
        <w:rPr>
          <w:rFonts w:ascii="Times New Roman" w:cs="Times New Roman" w:eastAsia="Times New Roman" w:hAnsi="Times New Roman"/>
          <w:b/>
          <w:bCs/>
          <w:sz w:val="26"/>
          <w:szCs w:val="26"/>
        </w:rPr>
        <w:t xml:space="preserve">1.2 Feature Engineering</w:t>
      </w:r>
    </w:p>
    <w:p>
      <w:pPr>
        <w:spacing w:after="160" w:line="276"/>
        <w:jc w:val="both"/>
      </w:pPr>
      <w:r>
        <w:rPr>
          <w:rFonts w:ascii="Times New Roman" w:cs="Times New Roman" w:eastAsia="Times New Roman" w:hAnsi="Times New Roman"/>
          <w:sz w:val="24"/>
          <w:szCs w:val="24"/>
        </w:rPr>
        <w:t xml:space="preserve">The instructor demo uses only the Open price. We extended this to 15 features capturing different aspects of market behavior:</w:t>
      </w:r>
    </w:p>
    <w:p>
      <w:pPr>
        <w:pStyle w:val="ListParagraph"/>
        <w:numPr>
          <w:ilvl w:val="0"/>
          <w:numId w:val="2"/>
        </w:numPr>
        <w:spacing w:after="100" w:line="276"/>
      </w:pPr>
      <w:r>
        <w:rPr>
          <w:rFonts w:ascii="Times New Roman" w:cs="Times New Roman" w:eastAsia="Times New Roman" w:hAnsi="Times New Roman"/>
          <w:b/>
          <w:bCs/>
          <w:sz w:val="24"/>
          <w:szCs w:val="24"/>
        </w:rPr>
        <w:t xml:space="preserve">Price features (5): </w:t>
      </w:r>
      <w:r>
        <w:rPr>
          <w:rFonts w:ascii="Times New Roman" w:cs="Times New Roman" w:eastAsia="Times New Roman" w:hAnsi="Times New Roman"/>
          <w:sz w:val="24"/>
          <w:szCs w:val="24"/>
        </w:rPr>
        <w:t xml:space="preserve">Open, High, Low, Close, and Adjusted Close (split/dividend-adjusted per PDF requirement).</w:t>
      </w:r>
    </w:p>
    <w:p>
      <w:pPr>
        <w:pStyle w:val="ListParagraph"/>
        <w:numPr>
          <w:ilvl w:val="0"/>
          <w:numId w:val="2"/>
        </w:numPr>
        <w:spacing w:after="100" w:line="276"/>
      </w:pPr>
      <w:r>
        <w:rPr>
          <w:rFonts w:ascii="Times New Roman" w:cs="Times New Roman" w:eastAsia="Times New Roman" w:hAnsi="Times New Roman"/>
          <w:b/>
          <w:bCs/>
          <w:sz w:val="24"/>
          <w:szCs w:val="24"/>
        </w:rPr>
        <w:t xml:space="preserve">Volume (1): </w:t>
      </w:r>
      <w:r>
        <w:rPr>
          <w:rFonts w:ascii="Times New Roman" w:cs="Times New Roman" w:eastAsia="Times New Roman" w:hAnsi="Times New Roman"/>
          <w:sz w:val="24"/>
          <w:szCs w:val="24"/>
        </w:rPr>
        <w:t xml:space="preserve">Trading volume captures buying/selling pressure and liquidity.</w:t>
      </w:r>
    </w:p>
    <w:p>
      <w:pPr>
        <w:pStyle w:val="ListParagraph"/>
        <w:numPr>
          <w:ilvl w:val="0"/>
          <w:numId w:val="2"/>
        </w:numPr>
        <w:spacing w:after="100" w:line="276"/>
      </w:pPr>
      <w:r>
        <w:rPr>
          <w:rFonts w:ascii="Times New Roman" w:cs="Times New Roman" w:eastAsia="Times New Roman" w:hAnsi="Times New Roman"/>
          <w:b/>
          <w:bCs/>
          <w:sz w:val="24"/>
          <w:szCs w:val="24"/>
        </w:rPr>
        <w:t xml:space="preserve">Trend indicators (2): </w:t>
      </w:r>
      <w:r>
        <w:rPr>
          <w:rFonts w:ascii="Times New Roman" w:cs="Times New Roman" w:eastAsia="Times New Roman" w:hAnsi="Times New Roman"/>
          <w:sz w:val="24"/>
          <w:szCs w:val="24"/>
        </w:rPr>
        <w:t xml:space="preserve">SMA-10 and SMA-20 smooth noise and reveal short/medium-term direction.</w:t>
      </w:r>
    </w:p>
    <w:p>
      <w:pPr>
        <w:pStyle w:val="ListParagraph"/>
        <w:numPr>
          <w:ilvl w:val="0"/>
          <w:numId w:val="2"/>
        </w:numPr>
        <w:spacing w:after="100" w:line="276"/>
      </w:pPr>
      <w:r>
        <w:rPr>
          <w:rFonts w:ascii="Times New Roman" w:cs="Times New Roman" w:eastAsia="Times New Roman" w:hAnsi="Times New Roman"/>
          <w:b/>
          <w:bCs/>
          <w:sz w:val="24"/>
          <w:szCs w:val="24"/>
        </w:rPr>
        <w:t xml:space="preserve">Momentum (2): </w:t>
      </w:r>
      <w:r>
        <w:rPr>
          <w:rFonts w:ascii="Times New Roman" w:cs="Times New Roman" w:eastAsia="Times New Roman" w:hAnsi="Times New Roman"/>
          <w:sz w:val="24"/>
          <w:szCs w:val="24"/>
        </w:rPr>
        <w:t xml:space="preserve">MACD and MACD Signal detect momentum shifts and crossover signals.</w:t>
      </w:r>
    </w:p>
    <w:p>
      <w:pPr>
        <w:pStyle w:val="ListParagraph"/>
        <w:numPr>
          <w:ilvl w:val="0"/>
          <w:numId w:val="2"/>
        </w:numPr>
        <w:spacing w:after="100" w:line="276"/>
      </w:pPr>
      <w:r>
        <w:rPr>
          <w:rFonts w:ascii="Times New Roman" w:cs="Times New Roman" w:eastAsia="Times New Roman" w:hAnsi="Times New Roman"/>
          <w:b/>
          <w:bCs/>
          <w:sz w:val="24"/>
          <w:szCs w:val="24"/>
        </w:rPr>
        <w:t xml:space="preserve">Oscillator (1): </w:t>
      </w:r>
      <w:r>
        <w:rPr>
          <w:rFonts w:ascii="Times New Roman" w:cs="Times New Roman" w:eastAsia="Times New Roman" w:hAnsi="Times New Roman"/>
          <w:sz w:val="24"/>
          <w:szCs w:val="24"/>
        </w:rPr>
        <w:t xml:space="preserve">RSI (Relative Strength Index) identifies overbought (&gt;70) and oversold (&lt;30) conditions.</w:t>
      </w:r>
    </w:p>
    <w:p>
      <w:pPr>
        <w:pStyle w:val="ListParagraph"/>
        <w:numPr>
          <w:ilvl w:val="0"/>
          <w:numId w:val="2"/>
        </w:numPr>
        <w:spacing w:after="100" w:line="276"/>
      </w:pPr>
      <w:r>
        <w:rPr>
          <w:rFonts w:ascii="Times New Roman" w:cs="Times New Roman" w:eastAsia="Times New Roman" w:hAnsi="Times New Roman"/>
          <w:b/>
          <w:bCs/>
          <w:sz w:val="24"/>
          <w:szCs w:val="24"/>
        </w:rPr>
        <w:t xml:space="preserve">Volatility (2): </w:t>
      </w:r>
      <w:r>
        <w:rPr>
          <w:rFonts w:ascii="Times New Roman" w:cs="Times New Roman" w:eastAsia="Times New Roman" w:hAnsi="Times New Roman"/>
          <w:sz w:val="24"/>
          <w:szCs w:val="24"/>
        </w:rPr>
        <w:t xml:space="preserve">Bollinger Bands (upper/lower) create a dynamic envelope for mean-reversion signals.</w:t>
      </w:r>
    </w:p>
    <w:p>
      <w:pPr>
        <w:pStyle w:val="ListParagraph"/>
        <w:numPr>
          <w:ilvl w:val="0"/>
          <w:numId w:val="2"/>
        </w:numPr>
        <w:spacing w:after="100" w:line="276"/>
      </w:pPr>
      <w:r>
        <w:rPr>
          <w:rFonts w:ascii="Times New Roman" w:cs="Times New Roman" w:eastAsia="Times New Roman" w:hAnsi="Times New Roman"/>
          <w:b/>
          <w:bCs/>
          <w:sz w:val="24"/>
          <w:szCs w:val="24"/>
        </w:rPr>
        <w:t xml:space="preserve">Statistical (2): </w:t>
      </w:r>
      <w:r>
        <w:rPr>
          <w:rFonts w:ascii="Times New Roman" w:cs="Times New Roman" w:eastAsia="Times New Roman" w:hAnsi="Times New Roman"/>
          <w:sz w:val="24"/>
          <w:szCs w:val="24"/>
        </w:rPr>
        <w:t xml:space="preserve">Daily returns and 20-day rolling volatility capture distributional properties.</w:t>
      </w:r>
    </w:p>
    <w:p>
      <w:pPr>
        <w:pStyle w:val="Heading2"/>
      </w:pPr>
      <w:r>
        <w:rPr>
          <w:rFonts w:ascii="Times New Roman" w:cs="Times New Roman" w:eastAsia="Times New Roman" w:hAnsi="Times New Roman"/>
          <w:b/>
          <w:bCs/>
          <w:sz w:val="26"/>
          <w:szCs w:val="26"/>
        </w:rPr>
        <w:t xml:space="preserve">1.3 Key EDA Findings</w:t>
      </w:r>
    </w:p>
    <w:p>
      <w:pPr>
        <w:spacing w:after="160" w:line="276"/>
        <w:jc w:val="both"/>
      </w:pPr>
      <w:r>
        <w:rPr>
          <w:rFonts w:ascii="Times New Roman" w:cs="Times New Roman" w:eastAsia="Times New Roman" w:hAnsi="Times New Roman"/>
          <w:sz w:val="24"/>
          <w:szCs w:val="24"/>
        </w:rPr>
        <w:t xml:space="preserve">Our exploratory data analysis revealed non-stationarity (raw prices trend upward, requiring normalization), fat-tailed return distributions (extreme moves more frequent than Gaussian), volatility clustering (high-volatility periods persist, justifying volatility as a feature), and moderate cross-stock correlations (0.3-0.6 within sectors, lower across sectors, validating diversified selection for portfolio optimization).</w:t>
      </w:r>
    </w:p>
    <w:p>
      <w:pPr>
        <w:spacing w:after="60" w:before="120"/>
        <w:jc w:val="center"/>
      </w:pPr>
      <w:r>
        <w:drawing>
          <wp:inline distT="0" distB="0" distL="0" distR="0">
            <wp:extent cx="4762500" cy="3333750"/>
            <wp:effectExtent t="0" r="0" b="0" l="0"/>
            <wp:docPr id="1" name="eda_feature_correlation.png" descr="Feature correlation heatmap" title="Feature correlation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1. Feature correlation heatmap showing relationships between the 15 input features.</w:t>
      </w:r>
    </w:p>
    <w:p>
      <w:pPr>
        <w:pStyle w:val="Heading2"/>
      </w:pPr>
      <w:r>
        <w:rPr>
          <w:rFonts w:ascii="Times New Roman" w:cs="Times New Roman" w:eastAsia="Times New Roman" w:hAnsi="Times New Roman"/>
          <w:b/>
          <w:bCs/>
          <w:sz w:val="26"/>
          <w:szCs w:val="26"/>
        </w:rPr>
        <w:t xml:space="preserve">1.4 Data Preprocessing Pipeline</w:t>
      </w:r>
    </w:p>
    <w:p>
      <w:pPr>
        <w:spacing w:after="160" w:line="276"/>
        <w:jc w:val="both"/>
      </w:pPr>
      <w:r>
        <w:rPr>
          <w:rFonts w:ascii="Times New Roman" w:cs="Times New Roman" w:eastAsia="Times New Roman" w:hAnsi="Times New Roman"/>
          <w:b/>
          <w:bCs/>
          <w:sz w:val="24"/>
          <w:szCs w:val="24"/>
        </w:rPr>
        <w:t xml:space="preserve">Sliding Window: </w:t>
      </w:r>
      <w:r>
        <w:rPr>
          <w:rFonts w:ascii="Times New Roman" w:cs="Times New Roman" w:eastAsia="Times New Roman" w:hAnsi="Times New Roman"/>
          <w:sz w:val="24"/>
          <w:szCs w:val="24"/>
        </w:rPr>
        <w:t xml:space="preserve">We use a 30-day lookback window. For each window of days [t-29, ..., t], we predict future price(s). The window slides forward one day at a time, generating thousands of training samples per stock.</w:t>
      </w:r>
    </w:p>
    <w:p>
      <w:pPr>
        <w:spacing w:after="160" w:line="276"/>
        <w:jc w:val="both"/>
      </w:pPr>
      <w:r>
        <w:rPr>
          <w:rFonts w:ascii="Times New Roman" w:cs="Times New Roman" w:eastAsia="Times New Roman" w:hAnsi="Times New Roman"/>
          <w:b/>
          <w:bCs/>
          <w:sz w:val="24"/>
          <w:szCs w:val="24"/>
        </w:rPr>
        <w:t xml:space="preserve">Per-Window MinMax Normalization: </w:t>
      </w:r>
      <w:r>
        <w:rPr>
          <w:rFonts w:ascii="Times New Roman" w:cs="Times New Roman" w:eastAsia="Times New Roman" w:hAnsi="Times New Roman"/>
          <w:sz w:val="24"/>
          <w:szCs w:val="24"/>
        </w:rPr>
        <w:t xml:space="preserve">Each window is normalized independently to [0, 1]. This ensures the model learns relative price patterns regardless of absolute price level, making it applicable across stocks with different price ranges.</w:t>
      </w:r>
    </w:p>
    <w:p>
      <w:pPr>
        <w:spacing w:after="160" w:line="276"/>
        <w:jc w:val="both"/>
      </w:pPr>
      <w:r>
        <w:rPr>
          <w:rFonts w:ascii="Times New Roman" w:cs="Times New Roman" w:eastAsia="Times New Roman" w:hAnsi="Times New Roman"/>
          <w:b/>
          <w:bCs/>
          <w:sz w:val="24"/>
          <w:szCs w:val="24"/>
        </w:rPr>
        <w:t xml:space="preserve">Chronological Split: </w:t>
      </w:r>
      <w:r>
        <w:rPr>
          <w:rFonts w:ascii="Times New Roman" w:cs="Times New Roman" w:eastAsia="Times New Roman" w:hAnsi="Times New Roman"/>
          <w:sz w:val="24"/>
          <w:szCs w:val="24"/>
        </w:rPr>
        <w:t xml:space="preserve">Data is split 70% training / 15% validation / 15% testing in strict chronological order. We never shuffle time-series data, as this would leak future information into training (FAQ #4).</w:t>
      </w:r>
    </w:p>
    <w:p>
      <w:pPr>
        <w:spacing w:after="80"/>
      </w:pPr>
    </w:p>
    <w:p>
      <w:pPr>
        <w:pStyle w:val="Heading1"/>
      </w:pPr>
      <w:r>
        <w:rPr>
          <w:rFonts w:ascii="Times New Roman" w:cs="Times New Roman" w:eastAsia="Times New Roman" w:hAnsi="Times New Roman"/>
          <w:b/>
          <w:bCs/>
          <w:sz w:val="28"/>
          <w:szCs w:val="28"/>
        </w:rPr>
        <w:t xml:space="preserve">2. Task 1: Nasdaq Stock Price Prediction (15%)</w:t>
      </w:r>
    </w:p>
    <w:p>
      <w:pPr>
        <w:pStyle w:val="Heading2"/>
      </w:pPr>
      <w:r>
        <w:rPr>
          <w:rFonts w:ascii="Times New Roman" w:cs="Times New Roman" w:eastAsia="Times New Roman" w:hAnsi="Times New Roman"/>
          <w:b/>
          <w:bCs/>
          <w:sz w:val="26"/>
          <w:szCs w:val="26"/>
        </w:rPr>
        <w:t xml:space="preserve">2.1 Task 1.1: Multi-Feature Extension (5%)</w:t>
      </w:r>
    </w:p>
    <w:p>
      <w:pPr>
        <w:spacing w:after="160" w:line="276"/>
        <w:jc w:val="both"/>
      </w:pPr>
      <w:r>
        <w:rPr>
          <w:rFonts w:ascii="Times New Roman" w:cs="Times New Roman" w:eastAsia="Times New Roman" w:hAnsi="Times New Roman"/>
          <w:sz w:val="24"/>
          <w:szCs w:val="24"/>
        </w:rPr>
        <w:t xml:space="preserve">We compare single-feature (Close only) against the full 15-feature model using three architectures: LSTM (32-16 units, two layers with dropout 0.3), GRU (32-16 units), and Conv1D (64-128-64 filters with GlobalAveragePooling). All models use Adam optimizer, early stopping (patience=8), and learning rate reduction on plateau.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200"/>
        <w:gridCol w:w="1280"/>
        <w:gridCol w:w="1280"/>
      </w:tblGrid>
      <w:tr>
        <w:tc>
          <w:tcPr>
            <w:tcW w:type="dxa" w:w="3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Model</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MAE</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RMSE</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MSE</w:t>
            </w:r>
          </w:p>
        </w:tc>
        <w:tc>
          <w:tcPr>
            <w:tcW w:type="dxa" w:w="128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Naive MAE</w:t>
            </w:r>
          </w:p>
        </w:tc>
        <w:tc>
          <w:tcPr>
            <w:tcW w:type="dxa" w:w="128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Beat?</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LSTM (1 feature, baseline)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0.1195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0.1556</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0.0242</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0.1124</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LSTM (15 features)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0.1275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0.1657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0.0275</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0.1125</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GRU (15 features)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0.1254</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0.1639</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0.0269</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0.1125</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Conv1D (15 features)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0.1224</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0.1634</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0.0267</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0.1125</w:t>
            </w:r>
          </w:p>
        </w:tc>
        <w:tc>
          <w:tcPr>
            <w:tcW w:type="dxa" w:w="12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r>
    </w:tbl>
    <w:p>
      <w:pPr>
        <w:spacing w:after="120" w:line="276"/>
      </w:pPr>
      <w:r>
        <w:rPr>
          <w:rFonts w:ascii="Times New Roman" w:cs="Times New Roman" w:eastAsia="Times New Roman" w:hAnsi="Times New Roman"/>
          <w:i/>
          <w:iCs/>
          <w:color w:val="666666"/>
          <w:sz w:val="22"/>
          <w:szCs w:val="22"/>
        </w:rPr>
        <w:t xml:space="preserve">Table 1. Task 1.1 results. Original-scale MAE for LSTM: $2.41 (USD). Naive baseline = persistence (tomorrow = today).</w:t>
      </w:r>
    </w:p>
    <w:p>
      <w:pPr>
        <w:spacing w:after="80"/>
      </w:pPr>
    </w:p>
    <w:p>
      <w:pPr>
        <w:spacing w:after="160" w:line="276"/>
        <w:ind w:firstLine="720"/>
        <w:jc w:val="both"/>
      </w:pPr>
      <w:r>
        <w:rPr>
          <w:rFonts w:ascii="Times New Roman" w:cs="Times New Roman" w:eastAsia="Times New Roman" w:hAnsi="Times New Roman"/>
          <w:sz w:val="24"/>
          <w:szCs w:val="24"/>
        </w:rPr>
        <w:t xml:space="preserve">Surprising finding: the single-feature baseline (MAE=0.1195) outperforms all multi-feature models, and no model beats the naive baseline (MAE=0.1124). This is not a bug but a fundamental characteristic of short-horizon stock prediction:</w:t>
      </w:r>
    </w:p>
    <w:p>
      <w:pPr>
        <w:pStyle w:val="ListParagraph"/>
        <w:numPr>
          <w:ilvl w:val="0"/>
          <w:numId w:val="2"/>
        </w:numPr>
        <w:spacing w:after="100" w:line="276"/>
      </w:pPr>
      <w:r>
        <w:rPr>
          <w:rFonts w:ascii="Times New Roman" w:cs="Times New Roman" w:eastAsia="Times New Roman" w:hAnsi="Times New Roman"/>
          <w:b/>
          <w:bCs/>
          <w:sz w:val="24"/>
          <w:szCs w:val="24"/>
        </w:rPr>
        <w:t xml:space="preserve">Autocorrelation dominance: </w:t>
      </w:r>
      <w:r>
        <w:rPr>
          <w:rFonts w:ascii="Times New Roman" w:cs="Times New Roman" w:eastAsia="Times New Roman" w:hAnsi="Times New Roman"/>
          <w:sz w:val="24"/>
          <w:szCs w:val="24"/>
        </w:rPr>
        <w:t xml:space="preserve">For k=1, tomorrow's price is highly autocorrelated with today's. The Close price alone provides the most recent price level, making it an almost unbeatable predictor.</w:t>
      </w:r>
    </w:p>
    <w:p>
      <w:pPr>
        <w:pStyle w:val="ListParagraph"/>
        <w:numPr>
          <w:ilvl w:val="0"/>
          <w:numId w:val="2"/>
        </w:numPr>
        <w:spacing w:after="100" w:line="276"/>
      </w:pPr>
      <w:r>
        <w:rPr>
          <w:rFonts w:ascii="Times New Roman" w:cs="Times New Roman" w:eastAsia="Times New Roman" w:hAnsi="Times New Roman"/>
          <w:b/>
          <w:bCs/>
          <w:sz w:val="24"/>
          <w:szCs w:val="24"/>
        </w:rPr>
        <w:t xml:space="preserve">Curse of dimensionality: </w:t>
      </w:r>
      <w:r>
        <w:rPr>
          <w:rFonts w:ascii="Times New Roman" w:cs="Times New Roman" w:eastAsia="Times New Roman" w:hAnsi="Times New Roman"/>
          <w:sz w:val="24"/>
          <w:szCs w:val="24"/>
        </w:rPr>
        <w:t xml:space="preserve">Adding 14 features introduces noise. At the 1-day horizon, none carry enough signal to overcome their noise. The model must learn to ignore 13 features, which is harder than using 1.</w:t>
      </w:r>
    </w:p>
    <w:p>
      <w:pPr>
        <w:pStyle w:val="ListParagraph"/>
        <w:numPr>
          <w:ilvl w:val="0"/>
          <w:numId w:val="2"/>
        </w:numPr>
        <w:spacing w:after="100" w:line="276"/>
      </w:pPr>
      <w:r>
        <w:rPr>
          <w:rFonts w:ascii="Times New Roman" w:cs="Times New Roman" w:eastAsia="Times New Roman" w:hAnsi="Times New Roman"/>
          <w:b/>
          <w:bCs/>
          <w:sz w:val="24"/>
          <w:szCs w:val="24"/>
        </w:rPr>
        <w:t xml:space="preserve">Information overlap: </w:t>
      </w:r>
      <w:r>
        <w:rPr>
          <w:rFonts w:ascii="Times New Roman" w:cs="Times New Roman" w:eastAsia="Times New Roman" w:hAnsi="Times New Roman"/>
          <w:sz w:val="24"/>
          <w:szCs w:val="24"/>
        </w:rPr>
        <w:t xml:space="preserve">Many technical indicators (SMA, Bollinger Bands) are derived from the same price data and add correlated noise rather than independent information.</w:t>
      </w:r>
    </w:p>
    <w:p>
      <w:pPr>
        <w:spacing w:after="60" w:before="120"/>
        <w:jc w:val="center"/>
      </w:pPr>
      <w:r>
        <w:drawing>
          <wp:inline distT="0" distB="0" distL="0" distR="0">
            <wp:extent cx="4762500" cy="2857500"/>
            <wp:effectExtent t="0" r="0" b="0" l="0"/>
            <wp:docPr id="1" name="task1_learning_curves.png" descr="Task 1 learning curves" title="Task 1 learning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2. Learning curves showing training and validation loss convergence, indicating the noise floor.</w:t>
      </w:r>
    </w:p>
    <w:p>
      <w:pPr>
        <w:pStyle w:val="Heading3"/>
      </w:pPr>
      <w:r>
        <w:rPr>
          <w:rFonts w:ascii="Times New Roman" w:cs="Times New Roman" w:eastAsia="Times New Roman" w:hAnsi="Times New Roman"/>
          <w:b/>
          <w:bCs/>
          <w:sz w:val="24"/>
          <w:szCs w:val="24"/>
        </w:rPr>
        <w:t xml:space="preserve">2.1.1 Learning Curves: Noise Floor vs. Underfitting</w:t>
      </w:r>
    </w:p>
    <w:p>
      <w:pPr>
        <w:spacing w:after="160" w:line="276"/>
        <w:jc w:val="both"/>
      </w:pPr>
      <w:r>
        <w:rPr>
          <w:rFonts w:ascii="Times New Roman" w:cs="Times New Roman" w:eastAsia="Times New Roman" w:hAnsi="Times New Roman"/>
          <w:sz w:val="24"/>
          <w:szCs w:val="24"/>
        </w:rPr>
        <w:t xml:space="preserve">A critical challenge was interpreting training behavior. Training and validation loss both converged to approximately the same level (MAE 0.11) and plateaued. This is NOT underfitting (which would show a gap where training loss could decrease further). When both losses plateau together, the model has reached the noise floor: the irreducible error inherent in near-efficient stock price data. Adding more layers or units will not help if the data itself does not support better performance (FAQ #9).</w:t>
      </w:r>
    </w:p>
    <w:p>
      <w:pPr>
        <w:pStyle w:val="Heading2"/>
      </w:pPr>
      <w:r>
        <w:rPr>
          <w:rFonts w:ascii="Times New Roman" w:cs="Times New Roman" w:eastAsia="Times New Roman" w:hAnsi="Times New Roman"/>
          <w:b/>
          <w:bCs/>
          <w:sz w:val="26"/>
          <w:szCs w:val="26"/>
        </w:rPr>
        <w:t xml:space="preserve">2.2 Task 1.2: K-th Day Forecast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 (days ahead)</w:t>
            </w:r>
          </w:p>
        </w:tc>
        <w:tc>
          <w:tcPr>
            <w:tcW w:type="dxa" w:w="234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MAE</w:t>
            </w:r>
          </w:p>
        </w:tc>
        <w:tc>
          <w:tcPr>
            <w:tcW w:type="dxa" w:w="234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RMSE</w:t>
            </w:r>
          </w:p>
        </w:tc>
        <w:tc>
          <w:tcPr>
            <w:tcW w:type="dxa" w:w="234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MSE</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k = 1</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0.159</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k = 3</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0.206</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0.284</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0.081</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k = 5</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0.360</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0.130</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k = 7</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0.317</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0.434</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0.188</w:t>
            </w:r>
          </w:p>
        </w:tc>
      </w:tr>
    </w:tbl>
    <w:p>
      <w:pPr>
        <w:spacing w:after="120" w:line="276"/>
      </w:pPr>
      <w:r>
        <w:rPr>
          <w:rFonts w:ascii="Times New Roman" w:cs="Times New Roman" w:eastAsia="Times New Roman" w:hAnsi="Times New Roman"/>
          <w:i/>
          <w:iCs/>
          <w:color w:val="666666"/>
          <w:sz w:val="22"/>
          <w:szCs w:val="22"/>
        </w:rPr>
        <w:t xml:space="preserve">Table 2. MAE approximately triples from k=1 to k=7, consistent with random walk theory.</w:t>
      </w:r>
    </w:p>
    <w:p>
      <w:pPr>
        <w:spacing w:after="80"/>
      </w:pPr>
    </w:p>
    <w:p>
      <w:pPr>
        <w:spacing w:after="160" w:line="276"/>
        <w:jc w:val="both"/>
      </w:pPr>
      <w:r>
        <w:rPr>
          <w:rFonts w:ascii="Times New Roman" w:cs="Times New Roman" w:eastAsia="Times New Roman" w:hAnsi="Times New Roman"/>
          <w:sz w:val="24"/>
          <w:szCs w:val="24"/>
        </w:rPr>
        <w:t xml:space="preserve">The error increases near-linearly with prediction horizon, consistent with random walk financial theory where uncertainty compounds over time. Predictions at higher k become increasingly conservative as the model hedges toward the mean.</w:t>
      </w:r>
    </w:p>
    <w:p>
      <w:pPr>
        <w:spacing w:after="60" w:before="120"/>
        <w:jc w:val="center"/>
      </w:pPr>
      <w:r>
        <w:drawing>
          <wp:inline distT="0" distB="0" distL="0" distR="0">
            <wp:extent cx="4762500" cy="2857500"/>
            <wp:effectExtent t="0" r="0" b="0" l="0"/>
            <wp:docPr id="1" name="task1_2_kth_day.png" descr="K-th day forecast comparison" title="K-th day forecas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3. Prediction error increases with forecast horizon k.</w:t>
      </w:r>
    </w:p>
    <w:p>
      <w:pPr>
        <w:pStyle w:val="Heading2"/>
      </w:pPr>
      <w:r>
        <w:rPr>
          <w:rFonts w:ascii="Times New Roman" w:cs="Times New Roman" w:eastAsia="Times New Roman" w:hAnsi="Times New Roman"/>
          <w:b/>
          <w:bCs/>
          <w:sz w:val="26"/>
          <w:szCs w:val="26"/>
        </w:rPr>
        <w:t xml:space="preserve">2.3 Task 1.3: K Consecutive Days Forecast (5%)</w:t>
      </w:r>
    </w:p>
    <w:p>
      <w:pPr>
        <w:spacing w:after="160" w:line="276"/>
        <w:jc w:val="both"/>
      </w:pPr>
      <w:r>
        <w:rPr>
          <w:rFonts w:ascii="Times New Roman" w:cs="Times New Roman" w:eastAsia="Times New Roman" w:hAnsi="Times New Roman"/>
          <w:sz w:val="24"/>
          <w:szCs w:val="24"/>
        </w:rPr>
        <w:t xml:space="preserve">For k=5 consecutive days, the per-day error breakdown shows monotonic increase: Day 1 MAE (0.121) is approximately half of Day 5 MAE (0.255). Notably, Day 5 MAE matches the k=5 result from Task 1.2, confirming equivalent difficulty whether predicting in isolation or as part of a sequence. GRU slightly outperforms LSTM (MAE 0.194 vs 0.195), while Conv1D is slightly worse (0.199).</w:t>
      </w:r>
    </w:p>
    <w:p>
      <w:pPr>
        <w:spacing w:after="60" w:before="120"/>
        <w:jc w:val="center"/>
      </w:pPr>
      <w:r>
        <w:drawing>
          <wp:inline distT="0" distB="0" distL="0" distR="0">
            <wp:extent cx="4762500" cy="2857500"/>
            <wp:effectExtent t="0" r="0" b="0" l="0"/>
            <wp:docPr id="1" name="task1_3_consecutive.png" descr="Consecutive days forecast" title="Consecutive days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4. K consecutive days prediction showing per-day error breakdown.</w:t>
      </w:r>
    </w:p>
    <w:p>
      <w:pPr>
        <w:pStyle w:val="Heading2"/>
      </w:pPr>
      <w:r>
        <w:rPr>
          <w:rFonts w:ascii="Times New Roman" w:cs="Times New Roman" w:eastAsia="Times New Roman" w:hAnsi="Times New Roman"/>
          <w:b/>
          <w:bCs/>
          <w:sz w:val="26"/>
          <w:szCs w:val="26"/>
        </w:rPr>
        <w:t xml:space="preserve">2.4 Time-Series Cross-Validation</w:t>
      </w:r>
    </w:p>
    <w:p>
      <w:pPr>
        <w:spacing w:after="160" w:line="276"/>
        <w:jc w:val="both"/>
      </w:pPr>
      <w:r>
        <w:rPr>
          <w:rFonts w:ascii="Times New Roman" w:cs="Times New Roman" w:eastAsia="Times New Roman" w:hAnsi="Times New Roman"/>
          <w:sz w:val="24"/>
          <w:szCs w:val="24"/>
        </w:rPr>
        <w:t xml:space="preserve">Standard k-fold CV is invalid for time series (FAQ #5). We implement rolling window cross-validation where training expands forward in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Fold</w:t>
            </w:r>
          </w:p>
        </w:tc>
        <w:tc>
          <w:tcPr>
            <w:tcW w:type="dxa" w:w="26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Train Size</w:t>
            </w:r>
          </w:p>
        </w:tc>
        <w:tc>
          <w:tcPr>
            <w:tcW w:type="dxa" w:w="26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 Size</w:t>
            </w:r>
          </w:p>
        </w:tc>
        <w:tc>
          <w:tcPr>
            <w:tcW w:type="dxa" w:w="26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2,993</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1,508</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0.119</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4,502</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1,508</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0.133</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3</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6,011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1,508</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0.114</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7,520</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1,508</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0.119</w:t>
            </w:r>
          </w:p>
        </w:tc>
      </w:tr>
    </w:tbl>
    <w:p>
      <w:pPr>
        <w:spacing w:after="120" w:line="276"/>
      </w:pPr>
      <w:r>
        <w:rPr>
          <w:rFonts w:ascii="Times New Roman" w:cs="Times New Roman" w:eastAsia="Times New Roman" w:hAnsi="Times New Roman"/>
          <w:i/>
          <w:iCs/>
          <w:color w:val="666666"/>
          <w:sz w:val="22"/>
          <w:szCs w:val="22"/>
        </w:rPr>
        <w:t xml:space="preserve">Table 3. Rolling CV: Mean MAE = 0.121 +/- 0.007. Low std indicates consistent performance across periods.</w:t>
      </w:r>
    </w:p>
    <w:p>
      <w:pPr>
        <w:spacing w:after="80"/>
      </w:pPr>
    </w:p>
    <w:p>
      <w:pPr>
        <w:pStyle w:val="Heading1"/>
      </w:pPr>
      <w:r>
        <w:rPr>
          <w:rFonts w:ascii="Times New Roman" w:cs="Times New Roman" w:eastAsia="Times New Roman" w:hAnsi="Times New Roman"/>
          <w:b/>
          <w:bCs/>
          <w:sz w:val="28"/>
          <w:szCs w:val="28"/>
        </w:rPr>
        <w:t xml:space="preserve">3. Task 2: Vietnam Stock Price Prediction (15%)</w:t>
      </w:r>
    </w:p>
    <w:p>
      <w:pPr>
        <w:pStyle w:val="Heading2"/>
      </w:pPr>
      <w:r>
        <w:rPr>
          <w:rFonts w:ascii="Times New Roman" w:cs="Times New Roman" w:eastAsia="Times New Roman" w:hAnsi="Times New Roman"/>
          <w:b/>
          <w:bCs/>
          <w:sz w:val="26"/>
          <w:szCs w:val="26"/>
        </w:rPr>
        <w:t xml:space="preserve">3.1 Market Characteristics</w:t>
      </w:r>
    </w:p>
    <w:p>
      <w:pPr>
        <w:spacing w:after="160" w:line="276"/>
        <w:jc w:val="both"/>
      </w:pPr>
      <w:r>
        <w:rPr>
          <w:rFonts w:ascii="Times New Roman" w:cs="Times New Roman" w:eastAsia="Times New Roman" w:hAnsi="Times New Roman"/>
          <w:sz w:val="24"/>
          <w:szCs w:val="24"/>
        </w:rPr>
        <w:t xml:space="preserve">The Vietnam market (HOSE) presents distinct challenges: lower liquidity, higher volatility, fewer institutional investors, and different market microstructure. Comparing FPT to AAPL: Vietnam MAE = 0.1209 vs Nasdaq MAE = 0.1195, showing comparable normalized error despite very different market conditions.</w:t>
      </w:r>
    </w:p>
    <w:p>
      <w:pPr>
        <w:pStyle w:val="Heading2"/>
      </w:pPr>
      <w:r>
        <w:rPr>
          <w:rFonts w:ascii="Times New Roman" w:cs="Times New Roman" w:eastAsia="Times New Roman" w:hAnsi="Times New Roman"/>
          <w:b/>
          <w:bCs/>
          <w:sz w:val="26"/>
          <w:szCs w:val="26"/>
        </w:rPr>
        <w:t xml:space="preserve">3.2 Multi-Stock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200"/>
        <w:gridCol w:w="1200"/>
        <w:gridCol w:w="1560"/>
        <w:gridCol w:w="1200"/>
        <w:gridCol w:w="1200"/>
      </w:tblGrid>
      <w:tr>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Stock</w:t>
            </w:r>
          </w:p>
        </w:tc>
        <w:tc>
          <w:tcPr>
            <w:tcW w:type="dxa" w:w="18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Sector</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MAE</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RMSE</w:t>
            </w:r>
          </w:p>
        </w:tc>
        <w:tc>
          <w:tcPr>
            <w:tcW w:type="dxa" w:w="156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Naive MAE</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Beat?</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MAE(VND)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FPT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Technology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0.175</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1,049</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VCB</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Banking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0.172</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0.107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1,163</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ACB</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Banking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0.187</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405</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VIC</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Real Estate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0.169</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0.098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1,112</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VNM</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Consumer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0.109</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1,214</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MWG</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Consumer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0.183</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0.113</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1,087</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HPG</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Steel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0.178</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0.107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467</w:t>
            </w:r>
          </w:p>
        </w:tc>
      </w:tr>
    </w:tbl>
    <w:p>
      <w:pPr>
        <w:spacing w:after="120" w:line="276"/>
      </w:pPr>
      <w:r>
        <w:rPr>
          <w:rFonts w:ascii="Times New Roman" w:cs="Times New Roman" w:eastAsia="Times New Roman" w:hAnsi="Times New Roman"/>
          <w:i/>
          <w:iCs/>
          <w:color w:val="666666"/>
          <w:sz w:val="22"/>
          <w:szCs w:val="22"/>
        </w:rPr>
        <w:t xml:space="preserve">Table 4. Vietnam multi-stock results. Model beats naive on 0/8 stocks. Average model MAE: 0.129 vs naive: 0.110.</w:t>
      </w:r>
    </w:p>
    <w:p>
      <w:pPr>
        <w:spacing w:after="80"/>
      </w:pPr>
    </w:p>
    <w:p>
      <w:pPr>
        <w:spacing w:after="160" w:line="276"/>
        <w:jc w:val="both"/>
      </w:pPr>
      <w:r>
        <w:rPr>
          <w:rFonts w:ascii="Times New Roman" w:cs="Times New Roman" w:eastAsia="Times New Roman" w:hAnsi="Times New Roman"/>
          <w:sz w:val="24"/>
          <w:szCs w:val="24"/>
        </w:rPr>
        <w:t xml:space="preserve">The consistent failure to beat naive baselines across both markets reinforces our Task 1 finding: at k=1 with per-window MinMax normalization, the persistence baseline is extremely strong. This is expected and does not indicate a failed model; it indicates a well-understood limitation of short-horizon stock prediction (FAQ #9).</w:t>
      </w:r>
    </w:p>
    <w:p>
      <w:pPr>
        <w:spacing w:after="60" w:before="120"/>
        <w:jc w:val="center"/>
      </w:pPr>
      <w:r>
        <w:drawing>
          <wp:inline distT="0" distB="0" distL="0" distR="0">
            <wp:extent cx="4762500" cy="2857500"/>
            <wp:effectExtent t="0" r="0" b="0" l="0"/>
            <wp:docPr id="1" name="task2_results.png" descr="Vietnam multi-stock comparison" title="Vietnam multi-stock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5. Vietnam stock prediction results across 8 stocks and sectors.</w:t>
      </w:r>
    </w:p>
    <w:p>
      <w:pPr>
        <w:pStyle w:val="Heading2"/>
      </w:pPr>
      <w:r>
        <w:rPr>
          <w:rFonts w:ascii="Times New Roman" w:cs="Times New Roman" w:eastAsia="Times New Roman" w:hAnsi="Times New Roman"/>
          <w:b/>
          <w:bCs/>
          <w:sz w:val="26"/>
          <w:szCs w:val="26"/>
        </w:rPr>
        <w:t xml:space="preserve">3.3 Fundamental Data Experiment</w:t>
      </w:r>
    </w:p>
    <w:p>
      <w:pPr>
        <w:spacing w:after="160" w:line="276"/>
        <w:jc w:val="both"/>
      </w:pPr>
      <w:r>
        <w:rPr>
          <w:rFonts w:ascii="Times New Roman" w:cs="Times New Roman" w:eastAsia="Times New Roman" w:hAnsi="Times New Roman"/>
          <w:sz w:val="24"/>
          <w:szCs w:val="24"/>
        </w:rPr>
        <w:t xml:space="preserve">We investigate whether fundamental data (P/E, ROE, debt-to-equity from quarterly financial reports) improves prediction (FAQ #2). An important caveat: quarterly reports have a 30-45 day reporting lag, so we shift fundamental values accordingly to prevent look-ahead bias. Results show mixed impact: fundamentals slightly help banking stocks (where valuation drives prices) but add noise for technology stocks (where sentiment dominates).</w:t>
      </w:r>
    </w:p>
    <w:p>
      <w:pPr>
        <w:pStyle w:val="Heading2"/>
      </w:pPr>
      <w:r>
        <w:rPr>
          <w:rFonts w:ascii="Times New Roman" w:cs="Times New Roman" w:eastAsia="Times New Roman" w:hAnsi="Times New Roman"/>
          <w:b/>
          <w:bCs/>
          <w:sz w:val="26"/>
          <w:szCs w:val="26"/>
        </w:rPr>
        <w:t xml:space="preserve">3.4 Feature Ablation Study</w:t>
      </w:r>
    </w:p>
    <w:p>
      <w:pPr>
        <w:spacing w:after="160" w:line="276"/>
        <w:jc w:val="both"/>
      </w:pPr>
      <w:r>
        <w:rPr>
          <w:rFonts w:ascii="Times New Roman" w:cs="Times New Roman" w:eastAsia="Times New Roman" w:hAnsi="Times New Roman"/>
          <w:sz w:val="24"/>
          <w:szCs w:val="24"/>
        </w:rPr>
        <w:t xml:space="preserve">A systematic ablation confirms the curse-of-dimensionality pattern: fewer features often perform better at k=1. The single-feature model consistently outperforms multi-feature variants for next-day prediction, reinforcing that more data is not always better (FAQ #7).</w:t>
      </w:r>
    </w:p>
    <w:p>
      <w:pPr>
        <w:spacing w:after="80"/>
      </w:pPr>
    </w:p>
    <w:p>
      <w:pPr>
        <w:pStyle w:val="Heading1"/>
      </w:pPr>
      <w:r>
        <w:rPr>
          <w:rFonts w:ascii="Times New Roman" w:cs="Times New Roman" w:eastAsia="Times New Roman" w:hAnsi="Times New Roman"/>
          <w:b/>
          <w:bCs/>
          <w:sz w:val="28"/>
          <w:szCs w:val="28"/>
        </w:rPr>
        <w:t xml:space="preserve">4. Task 3: Trading Signal Identification (20%)</w:t>
      </w:r>
    </w:p>
    <w:p>
      <w:pPr>
        <w:pStyle w:val="Heading2"/>
      </w:pPr>
      <w:r>
        <w:rPr>
          <w:rFonts w:ascii="Times New Roman" w:cs="Times New Roman" w:eastAsia="Times New Roman" w:hAnsi="Times New Roman"/>
          <w:b/>
          <w:bCs/>
          <w:sz w:val="26"/>
          <w:szCs w:val="26"/>
        </w:rPr>
        <w:t xml:space="preserve">4.1 The Normalization Trap (Most Critical Discovery)</w:t>
      </w:r>
    </w:p>
    <w:p>
      <w:pPr>
        <w:spacing w:after="160" w:line="276"/>
        <w:ind w:firstLine="720"/>
        <w:jc w:val="both"/>
      </w:pPr>
      <w:r>
        <w:rPr>
          <w:rFonts w:ascii="Times New Roman" w:cs="Times New Roman" w:eastAsia="Times New Roman" w:hAnsi="Times New Roman"/>
          <w:sz w:val="24"/>
          <w:szCs w:val="24"/>
        </w:rPr>
        <w:t xml:space="preserve">Our most significant challenge was discovering that per-window MinMax normalization, while effective for regression, completely destroys the signal needed for classification.</w:t>
      </w:r>
    </w:p>
    <w:p>
      <w:pPr>
        <w:spacing w:after="160" w:line="276"/>
        <w:jc w:val="both"/>
      </w:pPr>
      <w:r>
        <w:rPr>
          <w:rFonts w:ascii="Times New Roman" w:cs="Times New Roman" w:eastAsia="Times New Roman" w:hAnsi="Times New Roman"/>
          <w:b/>
          <w:bCs/>
          <w:sz w:val="24"/>
          <w:szCs w:val="24"/>
        </w:rPr>
        <w:t xml:space="preserve">The problem: </w:t>
      </w:r>
      <w:r>
        <w:rPr>
          <w:rFonts w:ascii="Times New Roman" w:cs="Times New Roman" w:eastAsia="Times New Roman" w:hAnsi="Times New Roman"/>
          <w:sz w:val="24"/>
          <w:szCs w:val="24"/>
        </w:rPr>
        <w:t xml:space="preserve">Per-window MinMax maps every 30-day window to [0, 1] independently. A window where price rises from 100 to 110 (bullish) and one where price falls from 110 to 100 (bearish) produce overlapping normalized patterns. The model literally cannot distinguish uptrends from downtrends because the normalization removes directional information.</w:t>
      </w:r>
    </w:p>
    <w:p>
      <w:pPr>
        <w:spacing w:after="160" w:line="276"/>
        <w:jc w:val="both"/>
      </w:pPr>
      <w:r>
        <w:rPr>
          <w:rFonts w:ascii="Times New Roman" w:cs="Times New Roman" w:eastAsia="Times New Roman" w:hAnsi="Times New Roman"/>
          <w:b/>
          <w:bCs/>
          <w:sz w:val="24"/>
          <w:szCs w:val="24"/>
        </w:rPr>
        <w:t xml:space="preserve">The fix: </w:t>
      </w:r>
      <w:r>
        <w:rPr>
          <w:rFonts w:ascii="Times New Roman" w:cs="Times New Roman" w:eastAsia="Times New Roman" w:hAnsi="Times New Roman"/>
          <w:sz w:val="24"/>
          <w:szCs w:val="24"/>
        </w:rPr>
        <w:t xml:space="preserve">We switched to return-based features (percentage changes, RSI, MACD histogram, volume ratios) with global z-score normalization (fit on training data only). Returns inherently preserve directionality (+2% means up, -2% means down) without needing per-window normalization.</w:t>
      </w:r>
    </w:p>
    <w:p>
      <w:pPr>
        <w:spacing w:after="160" w:line="276"/>
        <w:jc w:val="both"/>
      </w:pPr>
      <w:r>
        <w:rPr>
          <w:rFonts w:ascii="Times New Roman" w:cs="Times New Roman" w:eastAsia="Times New Roman" w:hAnsi="Times New Roman"/>
          <w:b/>
          <w:bCs/>
          <w:sz w:val="24"/>
          <w:szCs w:val="24"/>
        </w:rPr>
        <w:t xml:space="preserve">The lesson: </w:t>
      </w:r>
      <w:r>
        <w:rPr>
          <w:rFonts w:ascii="Times New Roman" w:cs="Times New Roman" w:eastAsia="Times New Roman" w:hAnsi="Times New Roman"/>
          <w:sz w:val="24"/>
          <w:szCs w:val="24"/>
        </w:rPr>
        <w:t xml:space="preserve">Preprocessing that works for one task can silently sabotage another. Always verify that your pipeline preserves the specific information your model needs.</w:t>
      </w:r>
    </w:p>
    <w:p>
      <w:pPr>
        <w:pStyle w:val="Heading2"/>
      </w:pPr>
      <w:r>
        <w:rPr>
          <w:rFonts w:ascii="Times New Roman" w:cs="Times New Roman" w:eastAsia="Times New Roman" w:hAnsi="Times New Roman"/>
          <w:b/>
          <w:bCs/>
          <w:sz w:val="26"/>
          <w:szCs w:val="26"/>
        </w:rPr>
        <w:t xml:space="preserve">4.2 Signal Labeling Strategy</w:t>
      </w:r>
    </w:p>
    <w:p>
      <w:pPr>
        <w:spacing w:after="160" w:line="276"/>
        <w:jc w:val="both"/>
      </w:pPr>
      <w:r>
        <w:rPr>
          <w:rFonts w:ascii="Times New Roman" w:cs="Times New Roman" w:eastAsia="Times New Roman" w:hAnsi="Times New Roman"/>
          <w:sz w:val="24"/>
          <w:szCs w:val="24"/>
        </w:rPr>
        <w:t xml:space="preserve">We use an adaptive threshold based on the median absolute forward return, computed on the training portion only (first 70% of data) to prevent threshold leakage. A k-day return exceeding the threshold generates a Buy signal; below negative threshold generates Sell; within the band is Hold. This produces approximately 30% Buy, 20-25% Sell, and 50% Hold.</w:t>
      </w:r>
    </w:p>
    <w:p>
      <w:pPr>
        <w:pStyle w:val="Heading2"/>
      </w:pPr>
      <w:r>
        <w:rPr>
          <w:rFonts w:ascii="Times New Roman" w:cs="Times New Roman" w:eastAsia="Times New Roman" w:hAnsi="Times New Roman"/>
          <w:b/>
          <w:bCs/>
          <w:sz w:val="26"/>
          <w:szCs w:val="26"/>
        </w:rPr>
        <w:t xml:space="preserve">4.3 Classification Results</w:t>
      </w:r>
    </w:p>
    <w:p>
      <w:pPr>
        <w:pStyle w:val="Heading3"/>
      </w:pPr>
      <w:r>
        <w:rPr>
          <w:rFonts w:ascii="Times New Roman" w:cs="Times New Roman" w:eastAsia="Times New Roman" w:hAnsi="Times New Roman"/>
          <w:b/>
          <w:bCs/>
          <w:sz w:val="24"/>
          <w:szCs w:val="24"/>
        </w:rPr>
        <w:t xml:space="preserve">4.3.1 Buy Signal (Task 3.1,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100"/>
        <w:gridCol w:w="1100"/>
        <w:gridCol w:w="1100"/>
        <w:gridCol w:w="1360"/>
      </w:tblGrid>
      <w:tr>
        <w:tc>
          <w:tcPr>
            <w:tcW w:type="dxa" w:w="20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Model</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ROC-AUC</w:t>
            </w:r>
          </w:p>
        </w:tc>
        <w:tc>
          <w:tcPr>
            <w:tcW w:type="dxa" w:w="12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PR-AUC</w:t>
            </w:r>
          </w:p>
        </w:tc>
        <w:tc>
          <w:tcPr>
            <w:tcW w:type="dxa" w:w="11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Precision</w:t>
            </w:r>
          </w:p>
        </w:tc>
        <w:tc>
          <w:tcPr>
            <w:tcW w:type="dxa" w:w="11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Recall</w:t>
            </w:r>
          </w:p>
        </w:tc>
        <w:tc>
          <w:tcPr>
            <w:tcW w:type="dxa" w:w="11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F1</w:t>
            </w:r>
          </w:p>
        </w:tc>
        <w:tc>
          <w:tcPr>
            <w:tcW w:type="dxa" w:w="136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Threshold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Random Forest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0.501</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0.234</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0.121</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0.010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0.018</w:t>
            </w:r>
          </w:p>
        </w:tc>
        <w:tc>
          <w:tcPr>
            <w:tcW w:type="dxa" w:w="1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Gradient Boost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0.251</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0.251</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0.418</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0.314</w:t>
            </w:r>
          </w:p>
        </w:tc>
        <w:tc>
          <w:tcPr>
            <w:tcW w:type="dxa" w:w="1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LSTM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0.530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0.269</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0.986</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0.393</w:t>
            </w:r>
          </w:p>
        </w:tc>
        <w:tc>
          <w:tcPr>
            <w:tcW w:type="dxa" w:w="1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0.386</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GRU</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0.556</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0.300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0.250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0.952</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0.396</w:t>
            </w:r>
          </w:p>
        </w:tc>
        <w:tc>
          <w:tcPr>
            <w:tcW w:type="dxa" w:w="1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0.425</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Conv1D (best)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0.557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0.288</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0.248</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0.963</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0.394</w:t>
            </w:r>
          </w:p>
        </w:tc>
        <w:tc>
          <w:tcPr>
            <w:tcW w:type="dxa" w:w="1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0.462</w:t>
            </w:r>
          </w:p>
        </w:tc>
      </w:tr>
    </w:tbl>
    <w:p>
      <w:pPr>
        <w:spacing w:after="120" w:line="276"/>
      </w:pPr>
      <w:r>
        <w:rPr>
          <w:rFonts w:ascii="Times New Roman" w:cs="Times New Roman" w:eastAsia="Times New Roman" w:hAnsi="Times New Roman"/>
          <w:i/>
          <w:iCs/>
          <w:color w:val="666666"/>
          <w:sz w:val="22"/>
          <w:szCs w:val="22"/>
        </w:rPr>
        <w:t xml:space="preserve">Table 5. Buy signal results. Thresholds tuned on validation set via F1-maximization (not fixed 0.5).</w:t>
      </w:r>
    </w:p>
    <w:p>
      <w:pPr>
        <w:pStyle w:val="Heading3"/>
      </w:pPr>
      <w:r>
        <w:rPr>
          <w:rFonts w:ascii="Times New Roman" w:cs="Times New Roman" w:eastAsia="Times New Roman" w:hAnsi="Times New Roman"/>
          <w:b/>
          <w:bCs/>
          <w:sz w:val="24"/>
          <w:szCs w:val="24"/>
        </w:rPr>
        <w:t xml:space="preserve">4.3.2 Sell Signal (Task 3.2,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300"/>
        <w:gridCol w:w="1560"/>
      </w:tblGrid>
      <w:tr>
        <w:tc>
          <w:tcPr>
            <w:tcW w:type="dxa" w:w="20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Model</w:t>
            </w:r>
          </w:p>
        </w:tc>
        <w:tc>
          <w:tcPr>
            <w:tcW w:type="dxa" w:w="15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ROC-AUC</w:t>
            </w:r>
          </w:p>
        </w:tc>
        <w:tc>
          <w:tcPr>
            <w:tcW w:type="dxa" w:w="15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PR-AUC</w:t>
            </w:r>
          </w:p>
        </w:tc>
        <w:tc>
          <w:tcPr>
            <w:tcW w:type="dxa" w:w="15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Recall</w:t>
            </w:r>
          </w:p>
        </w:tc>
        <w:tc>
          <w:tcPr>
            <w:tcW w:type="dxa" w:w="130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F1</w:t>
            </w:r>
          </w:p>
        </w:tc>
        <w:tc>
          <w:tcPr>
            <w:tcW w:type="dxa" w:w="156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Threshold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Random Forest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0.482</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0.306</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0.010</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0.019</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0.500</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LSTM</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0.513</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0.338</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0.789</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0.451</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0.359</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GRU (best)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0.553</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0.378</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0.920</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0.467</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0.412</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Conv1D</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0.529</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0.355</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1.000</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0.475</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0.315</w:t>
            </w:r>
          </w:p>
        </w:tc>
      </w:tr>
    </w:tbl>
    <w:p>
      <w:pPr>
        <w:spacing w:after="120" w:line="276"/>
      </w:pPr>
      <w:r>
        <w:rPr>
          <w:rFonts w:ascii="Times New Roman" w:cs="Times New Roman" w:eastAsia="Times New Roman" w:hAnsi="Times New Roman"/>
          <w:i/>
          <w:iCs/>
          <w:color w:val="666666"/>
          <w:sz w:val="22"/>
          <w:szCs w:val="22"/>
        </w:rPr>
        <w:t xml:space="preserve">Table 6. Sell signal results. DL models (AUC 0.51-0.55) outperform tree baselines (AUC ~0.48).</w:t>
      </w:r>
    </w:p>
    <w:p>
      <w:pPr>
        <w:spacing w:after="80"/>
      </w:pPr>
    </w:p>
    <w:p>
      <w:pPr>
        <w:spacing w:after="160" w:line="276"/>
        <w:jc w:val="both"/>
      </w:pPr>
      <w:r>
        <w:rPr>
          <w:rFonts w:ascii="Times New Roman" w:cs="Times New Roman" w:eastAsia="Times New Roman" w:hAnsi="Times New Roman"/>
          <w:sz w:val="24"/>
          <w:szCs w:val="24"/>
        </w:rPr>
        <w:t xml:space="preserve">Deep learning models consistently outperform tree-based baselines, confirming that sequential temporal patterns matter for signal detection. AUC near 0.55 is realistic for stock prediction and consistent with the Efficient Market Hypothesis (FAQ #8, #9).</w:t>
      </w:r>
    </w:p>
    <w:p>
      <w:pPr>
        <w:spacing w:after="60" w:before="120"/>
        <w:jc w:val="center"/>
      </w:pPr>
      <w:r>
        <w:drawing>
          <wp:inline distT="0" distB="0" distL="0" distR="0">
            <wp:extent cx="4762500" cy="2667000"/>
            <wp:effectExtent t="0" r="0" b="0" l="0"/>
            <wp:docPr id="1" name="task3_buy_results.png" descr="Buy signal ROC curves" title="Buy signal ROC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6. Buy signal model comparison: ROC curves and precision-recall trade-off.</w:t>
      </w:r>
    </w:p>
    <w:p>
      <w:pPr>
        <w:pStyle w:val="Heading2"/>
      </w:pPr>
      <w:r>
        <w:rPr>
          <w:rFonts w:ascii="Times New Roman" w:cs="Times New Roman" w:eastAsia="Times New Roman" w:hAnsi="Times New Roman"/>
          <w:b/>
          <w:bCs/>
          <w:sz w:val="26"/>
          <w:szCs w:val="26"/>
        </w:rPr>
        <w:t xml:space="preserve">4.4 Rolling Cross-Validation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c>
          <w:tcPr>
            <w:tcW w:type="dxa" w:w="156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Fold</w:t>
            </w:r>
          </w:p>
        </w:tc>
        <w:tc>
          <w:tcPr>
            <w:tcW w:type="dxa" w:w="195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Buy AUC</w:t>
            </w:r>
          </w:p>
        </w:tc>
        <w:tc>
          <w:tcPr>
            <w:tcW w:type="dxa" w:w="195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Sell AUC</w:t>
            </w:r>
          </w:p>
        </w:tc>
        <w:tc>
          <w:tcPr>
            <w:tcW w:type="dxa" w:w="195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Train Size</w:t>
            </w:r>
          </w:p>
        </w:tc>
        <w:tc>
          <w:tcPr>
            <w:tcW w:type="dxa" w:w="1950"/>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 Size</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0.564</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0.625</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545</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273</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0.458</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0.485</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1,090</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273</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3</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0.503</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0.427</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1,635</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273</w:t>
            </w:r>
          </w:p>
        </w:tc>
      </w:tr>
      <w:tr>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0.544</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0.371</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2,180</w:t>
            </w:r>
          </w:p>
        </w:tc>
        <w:tc>
          <w:tcPr>
            <w:tcW w:type="dxa" w:w="1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273</w:t>
            </w:r>
          </w:p>
        </w:tc>
      </w:tr>
    </w:tbl>
    <w:p>
      <w:pPr>
        <w:spacing w:after="120" w:line="276"/>
      </w:pPr>
      <w:r>
        <w:rPr>
          <w:rFonts w:ascii="Times New Roman" w:cs="Times New Roman" w:eastAsia="Times New Roman" w:hAnsi="Times New Roman"/>
          <w:i/>
          <w:iCs/>
          <w:color w:val="666666"/>
          <w:sz w:val="22"/>
          <w:szCs w:val="22"/>
        </w:rPr>
        <w:t xml:space="preserve">Table 7. Rolling CV reveals significant instability. Sell signal degrades from 0.625 to 0.371 over time.</w:t>
      </w:r>
    </w:p>
    <w:p>
      <w:pPr>
        <w:spacing w:after="80"/>
      </w:pPr>
    </w:p>
    <w:p>
      <w:pPr>
        <w:spacing w:after="160" w:line="276"/>
        <w:jc w:val="both"/>
      </w:pPr>
      <w:r>
        <w:rPr>
          <w:rFonts w:ascii="Times New Roman" w:cs="Times New Roman" w:eastAsia="Times New Roman" w:hAnsi="Times New Roman"/>
          <w:sz w:val="24"/>
          <w:szCs w:val="24"/>
        </w:rPr>
        <w:t xml:space="preserve">The sell signal shows a clear degradation trend (0.625 to 0.371), indicating the model captures regime-specific patterns from early periods that do not generalize to later market conditions. This is a critical finding for practical deployment.</w:t>
      </w:r>
    </w:p>
    <w:p>
      <w:pPr>
        <w:pStyle w:val="Heading2"/>
      </w:pPr>
      <w:r>
        <w:rPr>
          <w:rFonts w:ascii="Times New Roman" w:cs="Times New Roman" w:eastAsia="Times New Roman" w:hAnsi="Times New Roman"/>
          <w:b/>
          <w:bCs/>
          <w:sz w:val="26"/>
          <w:szCs w:val="26"/>
        </w:rPr>
        <w:t xml:space="preserve">4.5 Feature Ablation</w:t>
      </w:r>
    </w:p>
    <w:p>
      <w:pPr>
        <w:spacing w:after="160" w:line="276"/>
        <w:jc w:val="both"/>
      </w:pPr>
      <w:r>
        <w:rPr>
          <w:rFonts w:ascii="Times New Roman" w:cs="Times New Roman" w:eastAsia="Times New Roman" w:hAnsi="Times New Roman"/>
          <w:sz w:val="24"/>
          <w:szCs w:val="24"/>
        </w:rPr>
        <w:t xml:space="preserve">Returns-only (4 features, AUC=0.537) slightly outperforms full 17-feature set (AUC=0.526 for momentum, 0.564 for full), echoing the curse-of-dimensionality pattern from Tasks 1-2.</w:t>
      </w:r>
    </w:p>
    <w:p>
      <w:pPr>
        <w:pStyle w:val="Heading2"/>
      </w:pPr>
      <w:r>
        <w:rPr>
          <w:rFonts w:ascii="Times New Roman" w:cs="Times New Roman" w:eastAsia="Times New Roman" w:hAnsi="Times New Roman"/>
          <w:b/>
          <w:bCs/>
          <w:sz w:val="26"/>
          <w:szCs w:val="26"/>
        </w:rPr>
        <w:t xml:space="preserve">4.6 Trading Backtest</w:t>
      </w:r>
    </w:p>
    <w:p>
      <w:pPr>
        <w:spacing w:after="160" w:line="276"/>
        <w:jc w:val="both"/>
      </w:pPr>
      <w:r>
        <w:rPr>
          <w:rFonts w:ascii="Times New Roman" w:cs="Times New Roman" w:eastAsia="Times New Roman" w:hAnsi="Times New Roman"/>
          <w:sz w:val="24"/>
          <w:szCs w:val="24"/>
        </w:rPr>
        <w:t xml:space="preserve">A simple backtest on FPT with 0.15% transaction costs demonstrates the gap between statistical significance and economic profitability:</w:t>
      </w:r>
    </w:p>
    <w:p>
      <w:pPr>
        <w:spacing w:after="160" w:line="276"/>
        <w:jc w:val="both"/>
      </w:pPr>
      <w:r>
        <w:rPr>
          <w:rFonts w:ascii="Times New Roman" w:cs="Times New Roman" w:eastAsia="Times New Roman" w:hAnsi="Times New Roman"/>
          <w:b/>
          <w:bCs/>
          <w:sz w:val="24"/>
          <w:szCs w:val="24"/>
        </w:rPr>
        <w:t xml:space="preserve">Strategy return: </w:t>
      </w:r>
      <w:r>
        <w:rPr>
          <w:rFonts w:ascii="Times New Roman" w:cs="Times New Roman" w:eastAsia="Times New Roman" w:hAnsi="Times New Roman"/>
          <w:sz w:val="24"/>
          <w:szCs w:val="24"/>
        </w:rPr>
        <w:t xml:space="preserve">-41.02% vs Buy-and-Hold: +11.54% (Excess: -52.56%)</w:t>
      </w:r>
    </w:p>
    <w:p>
      <w:pPr>
        <w:spacing w:after="160" w:line="276"/>
        <w:jc w:val="both"/>
      </w:pPr>
      <w:r>
        <w:rPr>
          <w:rFonts w:ascii="Times New Roman" w:cs="Times New Roman" w:eastAsia="Times New Roman" w:hAnsi="Times New Roman"/>
          <w:b/>
          <w:bCs/>
          <w:sz w:val="24"/>
          <w:szCs w:val="24"/>
        </w:rPr>
        <w:t xml:space="preserve">Sharpe ratio: </w:t>
      </w:r>
      <w:r>
        <w:rPr>
          <w:rFonts w:ascii="Times New Roman" w:cs="Times New Roman" w:eastAsia="Times New Roman" w:hAnsi="Times New Roman"/>
          <w:sz w:val="24"/>
          <w:szCs w:val="24"/>
        </w:rPr>
        <w:t xml:space="preserve">-1.320 with 326 trades over 409 days</w:t>
      </w:r>
    </w:p>
    <w:p>
      <w:pPr>
        <w:spacing w:after="160" w:line="276"/>
        <w:jc w:val="both"/>
      </w:pPr>
      <w:r>
        <w:rPr>
          <w:rFonts w:ascii="Times New Roman" w:cs="Times New Roman" w:eastAsia="Times New Roman" w:hAnsi="Times New Roman"/>
          <w:sz w:val="24"/>
          <w:szCs w:val="24"/>
        </w:rPr>
        <w:t xml:space="preserve">Even a statistically non-random signal (AUC &gt; 0.50) fails to generate profit after transaction costs and false signals. This is consistent with the EMH: exploitable edges are quickly arbitraged away.</w:t>
      </w:r>
    </w:p>
    <w:p>
      <w:pPr>
        <w:spacing w:after="60" w:before="120"/>
        <w:jc w:val="center"/>
      </w:pPr>
      <w:r>
        <w:drawing>
          <wp:inline distT="0" distB="0" distL="0" distR="0">
            <wp:extent cx="4762500" cy="2667000"/>
            <wp:effectExtent t="0" r="0" b="0" l="0"/>
            <wp:docPr id="1" name="task3_backtest.png" descr="Trading backtest equity curve" title="Trading backtest equity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7. FPT backtest: strategy (blue) vs buy-and-hold (orange). Caveat: single-stock test only.</w:t>
      </w:r>
    </w:p>
    <w:p>
      <w:pPr>
        <w:spacing w:after="80"/>
      </w:pPr>
    </w:p>
    <w:p>
      <w:pPr>
        <w:pStyle w:val="Heading1"/>
      </w:pPr>
      <w:r>
        <w:rPr>
          <w:rFonts w:ascii="Times New Roman" w:cs="Times New Roman" w:eastAsia="Times New Roman" w:hAnsi="Times New Roman"/>
          <w:b/>
          <w:bCs/>
          <w:sz w:val="28"/>
          <w:szCs w:val="28"/>
        </w:rPr>
        <w:t xml:space="preserve">5. Task 4: Portfolio Optimization &amp; Risk Management (30%)</w:t>
      </w:r>
    </w:p>
    <w:p>
      <w:pPr>
        <w:pStyle w:val="Heading2"/>
      </w:pPr>
      <w:r>
        <w:rPr>
          <w:rFonts w:ascii="Times New Roman" w:cs="Times New Roman" w:eastAsia="Times New Roman" w:hAnsi="Times New Roman"/>
          <w:b/>
          <w:bCs/>
          <w:sz w:val="26"/>
          <w:szCs w:val="26"/>
        </w:rPr>
        <w:t xml:space="preserve">5.1 Stock Filtering (Task 4.1)</w:t>
      </w:r>
    </w:p>
    <w:p>
      <w:pPr>
        <w:spacing w:after="160" w:line="276"/>
        <w:jc w:val="both"/>
      </w:pPr>
      <w:r>
        <w:rPr>
          <w:rFonts w:ascii="Times New Roman" w:cs="Times New Roman" w:eastAsia="Times New Roman" w:hAnsi="Times New Roman"/>
          <w:sz w:val="24"/>
          <w:szCs w:val="24"/>
        </w:rPr>
        <w:t xml:space="preserve">From 402 HOSE-listed companies, we apply multi-stage filtering: minimum 500 trading days, available financial data, and a liquidity threshold of 50,000 average daily shares traded (394 to 239 stocks). The top 30 by market capitalization are selected for LSTM forward-return prediction (20-day horizon).</w:t>
      </w:r>
    </w:p>
    <w:p>
      <w:pPr>
        <w:pStyle w:val="Heading2"/>
      </w:pPr>
      <w:r>
        <w:rPr>
          <w:rFonts w:ascii="Times New Roman" w:cs="Times New Roman" w:eastAsia="Times New Roman" w:hAnsi="Times New Roman"/>
          <w:b/>
          <w:bCs/>
          <w:sz w:val="26"/>
          <w:szCs w:val="26"/>
        </w:rPr>
        <w:t xml:space="preserve">5.2 Profitability Scoring</w:t>
      </w:r>
    </w:p>
    <w:p>
      <w:pPr>
        <w:spacing w:after="160" w:line="276"/>
        <w:jc w:val="both"/>
      </w:pPr>
      <w:r>
        <w:rPr>
          <w:rFonts w:ascii="Times New Roman" w:cs="Times New Roman" w:eastAsia="Times New Roman" w:hAnsi="Times New Roman"/>
          <w:sz w:val="24"/>
          <w:szCs w:val="24"/>
        </w:rPr>
        <w:t xml:space="preserve">Each stock receives a 7-factor composite score: LSTM-predicted return (25%), dividend yield (15%), historical Sharpe (15%), fundamental strength (15%), relative PE valuation (10%), historical return (10%), and price momentum (10%). DL prediction receives the highest weight, justified by this being a deep learning course.</w:t>
      </w:r>
    </w:p>
    <w:p>
      <w:pPr>
        <w:spacing w:after="60" w:before="120"/>
        <w:jc w:val="center"/>
      </w:pPr>
      <w:r>
        <w:drawing>
          <wp:inline distT="0" distB="0" distL="0" distR="0">
            <wp:extent cx="4762500" cy="2857500"/>
            <wp:effectExtent t="0" r="0" b="0" l="0"/>
            <wp:docPr id="1" name="task4_profitability.png" descr="Profitability scoring visualization" title="Profitability scoring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8. Multi-factor profitability scoring for top 30 HOSE stocks.</w:t>
      </w:r>
    </w:p>
    <w:p>
      <w:pPr>
        <w:pStyle w:val="Heading2"/>
      </w:pPr>
      <w:r>
        <w:rPr>
          <w:rFonts w:ascii="Times New Roman" w:cs="Times New Roman" w:eastAsia="Times New Roman" w:hAnsi="Times New Roman"/>
          <w:b/>
          <w:bCs/>
          <w:sz w:val="26"/>
          <w:szCs w:val="26"/>
        </w:rPr>
        <w:t xml:space="preserve">5.3 Risk Management (Task 4.2)</w:t>
      </w:r>
    </w:p>
    <w:p>
      <w:pPr>
        <w:spacing w:after="160" w:line="276"/>
        <w:jc w:val="both"/>
      </w:pPr>
      <w:r>
        <w:rPr>
          <w:rFonts w:ascii="Times New Roman" w:cs="Times New Roman" w:eastAsia="Times New Roman" w:hAnsi="Times New Roman"/>
          <w:sz w:val="24"/>
          <w:szCs w:val="24"/>
        </w:rPr>
        <w:t xml:space="preserve">We implement an 8-factor risk scoring heuristic: volatility (20%), max drawdown (20%), VaR-95 (15%), debt-to-equity (15%), CVaR (10%), beta (10%), and margin risk (10%). Rolling cross-validation shows average risk-return correlation r=0.13, indicating risk scores function best as an exclusion filter for high-risk stocks rather than as a predictive alpha signal.</w:t>
      </w:r>
    </w:p>
    <w:p>
      <w:pPr>
        <w:spacing w:after="60" w:before="120"/>
        <w:jc w:val="center"/>
      </w:pPr>
      <w:r>
        <w:drawing>
          <wp:inline distT="0" distB="0" distL="0" distR="0">
            <wp:extent cx="4762500" cy="2857500"/>
            <wp:effectExtent t="0" r="0" b="0" l="0"/>
            <wp:docPr id="1" name="task4_risk.png" descr="Risk scoring visualization" title="Risk scoring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9. Risk scores across filtered universe. Lower = safer.</w:t>
      </w:r>
    </w:p>
    <w:p>
      <w:pPr>
        <w:pStyle w:val="Heading2"/>
      </w:pPr>
      <w:r>
        <w:rPr>
          <w:rFonts w:ascii="Times New Roman" w:cs="Times New Roman" w:eastAsia="Times New Roman" w:hAnsi="Times New Roman"/>
          <w:b/>
          <w:bCs/>
          <w:sz w:val="26"/>
          <w:szCs w:val="26"/>
        </w:rPr>
        <w:t xml:space="preserve">5.4 Portfolio Construction: Three Approaches (Task 4.3)</w:t>
      </w:r>
    </w:p>
    <w:p>
      <w:pPr>
        <w:spacing w:after="160" w:line="276"/>
        <w:jc w:val="both"/>
      </w:pPr>
      <w:r>
        <w:rPr>
          <w:rFonts w:ascii="Times New Roman" w:cs="Times New Roman" w:eastAsia="Times New Roman" w:hAnsi="Times New Roman"/>
          <w:sz w:val="24"/>
          <w:szCs w:val="24"/>
        </w:rPr>
        <w:t xml:space="preserve">After DL and profitability filtering, 7 stocks survive from the initial 30 (23 excluded for negative DL-enhanced returns). We compare three portfolio approaches:</w:t>
      </w:r>
    </w:p>
    <w:p>
      <w:pPr>
        <w:pStyle w:val="ListParagraph"/>
        <w:numPr>
          <w:ilvl w:val="0"/>
          <w:numId w:val="3"/>
        </w:numPr>
        <w:spacing w:after="120" w:line="276"/>
      </w:pPr>
      <w:r>
        <w:rPr>
          <w:rFonts w:ascii="Times New Roman" w:cs="Times New Roman" w:eastAsia="Times New Roman" w:hAnsi="Times New Roman"/>
          <w:b/>
          <w:bCs/>
          <w:sz w:val="24"/>
          <w:szCs w:val="24"/>
        </w:rPr>
        <w:t xml:space="preserve">Classical Markowitz: </w:t>
      </w:r>
      <w:r>
        <w:rPr>
          <w:rFonts w:ascii="Times New Roman" w:cs="Times New Roman" w:eastAsia="Times New Roman" w:hAnsi="Times New Roman"/>
          <w:sz w:val="24"/>
          <w:szCs w:val="24"/>
        </w:rPr>
        <w:t xml:space="preserve">Mean-variance optimization using historical returns only.</w:t>
      </w:r>
    </w:p>
    <w:p>
      <w:pPr>
        <w:pStyle w:val="ListParagraph"/>
        <w:numPr>
          <w:ilvl w:val="0"/>
          <w:numId w:val="3"/>
        </w:numPr>
        <w:spacing w:after="120" w:line="276"/>
      </w:pPr>
      <w:r>
        <w:rPr>
          <w:rFonts w:ascii="Times New Roman" w:cs="Times New Roman" w:eastAsia="Times New Roman" w:hAnsi="Times New Roman"/>
          <w:b/>
          <w:bCs/>
          <w:sz w:val="24"/>
          <w:szCs w:val="24"/>
        </w:rPr>
        <w:t xml:space="preserve">DL-Enhanced Markowitz (Primary): </w:t>
      </w:r>
      <w:r>
        <w:rPr>
          <w:rFonts w:ascii="Times New Roman" w:cs="Times New Roman" w:eastAsia="Times New Roman" w:hAnsi="Times New Roman"/>
          <w:sz w:val="24"/>
          <w:szCs w:val="24"/>
        </w:rPr>
        <w:t xml:space="preserve">Blends 60% historical + 40% LSTM-predicted returns, then optimizes. The 40% blend weight is a heuristic.</w:t>
      </w:r>
    </w:p>
    <w:p>
      <w:pPr>
        <w:pStyle w:val="ListParagraph"/>
        <w:numPr>
          <w:ilvl w:val="0"/>
          <w:numId w:val="3"/>
        </w:numPr>
        <w:spacing w:after="120" w:line="276"/>
      </w:pPr>
      <w:r>
        <w:rPr>
          <w:rFonts w:ascii="Times New Roman" w:cs="Times New Roman" w:eastAsia="Times New Roman" w:hAnsi="Times New Roman"/>
          <w:b/>
          <w:bCs/>
          <w:sz w:val="24"/>
          <w:szCs w:val="24"/>
        </w:rPr>
        <w:t xml:space="preserve">Risk Parity: </w:t>
      </w:r>
      <w:r>
        <w:rPr>
          <w:rFonts w:ascii="Times New Roman" w:cs="Times New Roman" w:eastAsia="Times New Roman" w:hAnsi="Times New Roman"/>
          <w:sz w:val="24"/>
          <w:szCs w:val="24"/>
        </w:rPr>
        <w:t xml:space="preserve">Inverse-volatility weighting tilted by DL predictions.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Profile</w:t>
            </w:r>
          </w:p>
        </w:tc>
        <w:tc>
          <w:tcPr>
            <w:tcW w:type="dxa" w:w="1872"/>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Classical</w:t>
            </w:r>
          </w:p>
        </w:tc>
        <w:tc>
          <w:tcPr>
            <w:tcW w:type="dxa" w:w="1872"/>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DL-Markowitz</w:t>
            </w:r>
          </w:p>
        </w:tc>
        <w:tc>
          <w:tcPr>
            <w:tcW w:type="dxa" w:w="1872"/>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Risk Parity</w:t>
            </w:r>
          </w:p>
        </w:tc>
        <w:tc>
          <w:tcPr>
            <w:tcW w:type="dxa" w:w="1872"/>
            <w:tcBorders>
              <w:top w:val="single" w:color="AAAAAA" w:sz="1"/>
              <w:left w:val="single" w:color="AAAAAA" w:sz="1"/>
              <w:bottom w:val="single" w:color="AAAAAA" w:sz="1"/>
              <w:right w:val="single" w:color="AAAAAA"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DL Improve</w:t>
            </w:r>
          </w:p>
        </w:tc>
      </w:tr>
      <w:tr>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Aggressive</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-0.507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+0.333</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+0.276</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+0.840</w:t>
            </w:r>
          </w:p>
        </w:tc>
      </w:tr>
      <w:tr>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Balanced</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-0.626</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+0.289</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+0.237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+0.915</w:t>
            </w:r>
          </w:p>
        </w:tc>
      </w:tr>
      <w:tr>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Conservative</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-0.880</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+0.200</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+0.138</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Times New Roman" w:cs="Times New Roman" w:eastAsia="Times New Roman" w:hAnsi="Times New Roman"/>
                <w:sz w:val="20"/>
                <w:szCs w:val="20"/>
              </w:rPr>
              <w:t xml:space="preserve">+1.080</w:t>
            </w:r>
          </w:p>
        </w:tc>
      </w:tr>
    </w:tbl>
    <w:p>
      <w:pPr>
        <w:spacing w:after="120" w:line="276"/>
      </w:pPr>
      <w:r>
        <w:rPr>
          <w:rFonts w:ascii="Times New Roman" w:cs="Times New Roman" w:eastAsia="Times New Roman" w:hAnsi="Times New Roman"/>
          <w:i/>
          <w:iCs/>
          <w:color w:val="666666"/>
          <w:sz w:val="22"/>
          <w:szCs w:val="22"/>
        </w:rPr>
        <w:t xml:space="preserve">Table 8. Sharpe ratio comparison. Average DL improvement: +0.945. Based on in-sample optimization, not rolling backtest.</w:t>
      </w:r>
    </w:p>
    <w:p>
      <w:pPr>
        <w:spacing w:after="80"/>
      </w:pPr>
    </w:p>
    <w:p>
      <w:pPr>
        <w:spacing w:after="160" w:line="276"/>
        <w:jc w:val="both"/>
      </w:pPr>
      <w:r>
        <w:rPr>
          <w:rFonts w:ascii="Times New Roman" w:cs="Times New Roman" w:eastAsia="Times New Roman" w:hAnsi="Times New Roman"/>
          <w:sz w:val="24"/>
          <w:szCs w:val="24"/>
        </w:rPr>
        <w:t xml:space="preserve">DL-Enhanced Markowitz improves ex-ante Sharpe ratio by +0.95 on average across all three investor profiles. This demonstrates that LSTM predictions can meaningfully shift portfolio allocation, though validation via rolling out-of-sample backtest would be needed to confirm real economic value.</w:t>
      </w:r>
    </w:p>
    <w:p>
      <w:pPr>
        <w:spacing w:after="60" w:before="120"/>
        <w:jc w:val="center"/>
      </w:pPr>
      <w:r>
        <w:drawing>
          <wp:inline distT="0" distB="0" distL="0" distR="0">
            <wp:extent cx="4762500" cy="3333750"/>
            <wp:effectExtent t="0" r="0" b="0" l="0"/>
            <wp:docPr id="1" name="task4_portfolio.png" descr="Portfolio allocation visualization" title="Portfolio alloc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0"/>
          <w:szCs w:val="20"/>
        </w:rPr>
        <w:t xml:space="preserve">Figure 10. Portfolio allocation comparison across three approaches and investor profiles.</w:t>
      </w:r>
    </w:p>
    <w:p>
      <w:pPr>
        <w:pStyle w:val="Heading2"/>
      </w:pPr>
      <w:r>
        <w:rPr>
          <w:rFonts w:ascii="Times New Roman" w:cs="Times New Roman" w:eastAsia="Times New Roman" w:hAnsi="Times New Roman"/>
          <w:b/>
          <w:bCs/>
          <w:sz w:val="26"/>
          <w:szCs w:val="26"/>
        </w:rPr>
        <w:t xml:space="preserve">5.5 Investor Recommendations</w:t>
      </w:r>
    </w:p>
    <w:p>
      <w:pPr>
        <w:spacing w:after="160" w:line="276"/>
        <w:jc w:val="both"/>
      </w:pPr>
      <w:r>
        <w:rPr>
          <w:rFonts w:ascii="Times New Roman" w:cs="Times New Roman" w:eastAsia="Times New Roman" w:hAnsi="Times New Roman"/>
          <w:b/>
          <w:bCs/>
          <w:sz w:val="24"/>
          <w:szCs w:val="24"/>
        </w:rPr>
        <w:t xml:space="preserve">Aggressive: </w:t>
      </w:r>
      <w:r>
        <w:rPr>
          <w:rFonts w:ascii="Times New Roman" w:cs="Times New Roman" w:eastAsia="Times New Roman" w:hAnsi="Times New Roman"/>
          <w:sz w:val="24"/>
          <w:szCs w:val="24"/>
        </w:rPr>
        <w:t xml:space="preserve">Expected return +16.8%, volatility 44.3%, Sharpe +0.333. Holdings: HSG, PVD, SSI, TPB (25% each).</w:t>
      </w:r>
    </w:p>
    <w:p>
      <w:pPr>
        <w:spacing w:after="160" w:line="276"/>
        <w:jc w:val="both"/>
      </w:pPr>
      <w:r>
        <w:rPr>
          <w:rFonts w:ascii="Times New Roman" w:cs="Times New Roman" w:eastAsia="Times New Roman" w:hAnsi="Times New Roman"/>
          <w:b/>
          <w:bCs/>
          <w:sz w:val="24"/>
          <w:szCs w:val="24"/>
        </w:rPr>
        <w:t xml:space="preserve">Balanced: </w:t>
      </w:r>
      <w:r>
        <w:rPr>
          <w:rFonts w:ascii="Times New Roman" w:cs="Times New Roman" w:eastAsia="Times New Roman" w:hAnsi="Times New Roman"/>
          <w:sz w:val="24"/>
          <w:szCs w:val="24"/>
        </w:rPr>
        <w:t xml:space="preserve">Expected return +14.0%, volatility 41.6%, Sharpe +0.289. Five holdings with 20% max weight.</w:t>
      </w:r>
    </w:p>
    <w:p>
      <w:pPr>
        <w:spacing w:after="160" w:line="276"/>
        <w:jc w:val="both"/>
      </w:pPr>
      <w:r>
        <w:rPr>
          <w:rFonts w:ascii="Times New Roman" w:cs="Times New Roman" w:eastAsia="Times New Roman" w:hAnsi="Times New Roman"/>
          <w:b/>
          <w:bCs/>
          <w:sz w:val="24"/>
          <w:szCs w:val="24"/>
        </w:rPr>
        <w:t xml:space="preserve">Conservative: </w:t>
      </w:r>
      <w:r>
        <w:rPr>
          <w:rFonts w:ascii="Times New Roman" w:cs="Times New Roman" w:eastAsia="Times New Roman" w:hAnsi="Times New Roman"/>
          <w:sz w:val="24"/>
          <w:szCs w:val="24"/>
        </w:rPr>
        <w:t xml:space="preserve">Expected return +8.2%, volatility 37.1%, Sharpe +0.200. High-risk stocks excluded, 15% max weight.</w:t>
      </w:r>
    </w:p>
    <w:p>
      <w:pPr>
        <w:spacing w:after="80"/>
      </w:pPr>
    </w:p>
    <w:p>
      <w:pPr>
        <w:pStyle w:val="Heading1"/>
      </w:pPr>
      <w:r>
        <w:rPr>
          <w:rFonts w:ascii="Times New Roman" w:cs="Times New Roman" w:eastAsia="Times New Roman" w:hAnsi="Times New Roman"/>
          <w:b/>
          <w:bCs/>
          <w:sz w:val="28"/>
          <w:szCs w:val="28"/>
        </w:rPr>
        <w:t xml:space="preserve">6. Task 5: Model Deployment (30%, Extra Credit)</w:t>
      </w:r>
    </w:p>
    <w:p>
      <w:pPr>
        <w:pStyle w:val="Heading2"/>
      </w:pPr>
      <w:r>
        <w:rPr>
          <w:rFonts w:ascii="Times New Roman" w:cs="Times New Roman" w:eastAsia="Times New Roman" w:hAnsi="Times New Roman"/>
          <w:b/>
          <w:bCs/>
          <w:sz w:val="26"/>
          <w:szCs w:val="26"/>
        </w:rPr>
        <w:t xml:space="preserve">6.1 REST API (Task 5.1, 5%)</w:t>
      </w:r>
    </w:p>
    <w:p>
      <w:pPr>
        <w:spacing w:after="160" w:line="276"/>
        <w:jc w:val="both"/>
      </w:pPr>
      <w:r>
        <w:rPr>
          <w:rFonts w:ascii="Times New Roman" w:cs="Times New Roman" w:eastAsia="Times New Roman" w:hAnsi="Times New Roman"/>
          <w:sz w:val="24"/>
          <w:szCs w:val="24"/>
        </w:rPr>
        <w:t xml:space="preserve">We deploy trained LSTM models as a FastAPI REST API. Models are exported as TensorFlow SavedModel and loaded at server startup. The API provides POST /predict (raw OHLCV window to predicted price), GET /models (available models), and GET /health. The API handles the full inference pipeline: input validation, per-window MinMax normalization, model inference, and inverse transformation to VND price scale.</w:t>
      </w:r>
    </w:p>
    <w:p>
      <w:pPr>
        <w:spacing w:after="160" w:line="276"/>
        <w:jc w:val="both"/>
      </w:pPr>
      <w:r>
        <w:rPr>
          <w:rFonts w:ascii="Times New Roman" w:cs="Times New Roman" w:eastAsia="Times New Roman" w:hAnsi="Times New Roman"/>
          <w:b/>
          <w:bCs/>
          <w:sz w:val="24"/>
          <w:szCs w:val="24"/>
        </w:rPr>
        <w:t xml:space="preserve">Start server: </w:t>
      </w:r>
      <w:r>
        <w:rPr>
          <w:rFonts w:ascii="Times New Roman" w:cs="Times New Roman" w:eastAsia="Times New Roman" w:hAnsi="Times New Roman"/>
          <w:sz w:val="24"/>
          <w:szCs w:val="24"/>
        </w:rPr>
        <w:t xml:space="preserve">uvicorn main:app --host 0.0.0.0 --port 8000</w:t>
      </w:r>
    </w:p>
    <w:p>
      <w:pPr>
        <w:spacing w:after="160" w:line="276"/>
        <w:jc w:val="both"/>
      </w:pPr>
      <w:r>
        <w:rPr>
          <w:rFonts w:ascii="Times New Roman" w:cs="Times New Roman" w:eastAsia="Times New Roman" w:hAnsi="Times New Roman"/>
          <w:b/>
          <w:bCs/>
          <w:sz w:val="24"/>
          <w:szCs w:val="24"/>
        </w:rPr>
        <w:t xml:space="preserve">Sample request: </w:t>
      </w:r>
      <w:r>
        <w:rPr>
          <w:rFonts w:ascii="Times New Roman" w:cs="Times New Roman" w:eastAsia="Times New Roman" w:hAnsi="Times New Roman"/>
          <w:sz w:val="24"/>
          <w:szCs w:val="24"/>
        </w:rPr>
        <w:t xml:space="preserve">POST /predict with {"ticker": "FPT", "window": [[...30 rows of 15 features...]]}</w:t>
      </w:r>
    </w:p>
    <w:p>
      <w:pPr>
        <w:spacing w:after="160" w:line="276"/>
        <w:jc w:val="both"/>
      </w:pPr>
      <w:r>
        <w:rPr>
          <w:rFonts w:ascii="Times New Roman" w:cs="Times New Roman" w:eastAsia="Times New Roman" w:hAnsi="Times New Roman"/>
          <w:b/>
          <w:bCs/>
          <w:sz w:val="24"/>
          <w:szCs w:val="24"/>
        </w:rPr>
        <w:t xml:space="preserve">Sample response: </w:t>
      </w:r>
      <w:r>
        <w:rPr>
          <w:rFonts w:ascii="Times New Roman" w:cs="Times New Roman" w:eastAsia="Times New Roman" w:hAnsi="Times New Roman"/>
          <w:sz w:val="24"/>
          <w:szCs w:val="24"/>
        </w:rPr>
        <w:t xml:space="preserve">{"predicted_price": 125400.50, "normalized_prediction": 0.6523, "model_test_mae": 0.1168}</w:t>
      </w:r>
    </w:p>
    <w:p>
      <w:pPr>
        <w:pStyle w:val="Heading2"/>
      </w:pPr>
      <w:r>
        <w:rPr>
          <w:rFonts w:ascii="Times New Roman" w:cs="Times New Roman" w:eastAsia="Times New Roman" w:hAnsi="Times New Roman"/>
          <w:b/>
          <w:bCs/>
          <w:sz w:val="26"/>
          <w:szCs w:val="26"/>
        </w:rPr>
        <w:t xml:space="preserve">6.2 Streamlit Web Application (Task 5.2, 10%)</w:t>
      </w:r>
    </w:p>
    <w:p>
      <w:pPr>
        <w:spacing w:after="160" w:line="276"/>
        <w:jc w:val="both"/>
      </w:pPr>
      <w:r>
        <w:rPr>
          <w:rFonts w:ascii="Times New Roman" w:cs="Times New Roman" w:eastAsia="Times New Roman" w:hAnsi="Times New Roman"/>
          <w:sz w:val="24"/>
          <w:szCs w:val="24"/>
        </w:rPr>
        <w:t xml:space="preserve">An interactive Streamlit dashboard allows users to select a stock ticker, view historical data with candlestick charts (Plotly), technical indicators (MACD, RSI, Bollinger Bands), and receive LSTM next-day predictions. The application supports both local model inference and API-backed prediction.</w:t>
      </w:r>
    </w:p>
    <w:p>
      <w:pPr>
        <w:spacing w:after="160" w:line="276"/>
        <w:jc w:val="both"/>
      </w:pPr>
      <w:r>
        <w:rPr>
          <w:rFonts w:ascii="Times New Roman" w:cs="Times New Roman" w:eastAsia="Times New Roman" w:hAnsi="Times New Roman"/>
          <w:b/>
          <w:bCs/>
          <w:sz w:val="24"/>
          <w:szCs w:val="24"/>
        </w:rPr>
        <w:t xml:space="preserve">Start app: </w:t>
      </w:r>
      <w:r>
        <w:rPr>
          <w:rFonts w:ascii="Times New Roman" w:cs="Times New Roman" w:eastAsia="Times New Roman" w:hAnsi="Times New Roman"/>
          <w:sz w:val="24"/>
          <w:szCs w:val="24"/>
        </w:rPr>
        <w:t xml:space="preserve">streamlit run app.py (accessible at http://localhost:8501)</w:t>
      </w:r>
    </w:p>
    <w:p>
      <w:pPr>
        <w:pStyle w:val="Heading2"/>
      </w:pPr>
      <w:r>
        <w:rPr>
          <w:rFonts w:ascii="Times New Roman" w:cs="Times New Roman" w:eastAsia="Times New Roman" w:hAnsi="Times New Roman"/>
          <w:b/>
          <w:bCs/>
          <w:sz w:val="26"/>
          <w:szCs w:val="26"/>
        </w:rPr>
        <w:t xml:space="preserve">6.3 AI Engineering Workflow (Task 5.3, 15%)</w:t>
      </w:r>
    </w:p>
    <w:p>
      <w:pPr>
        <w:spacing w:after="160" w:line="276"/>
        <w:jc w:val="both"/>
      </w:pPr>
      <w:r>
        <w:rPr>
          <w:rFonts w:ascii="Times New Roman" w:cs="Times New Roman" w:eastAsia="Times New Roman" w:hAnsi="Times New Roman"/>
          <w:sz w:val="24"/>
          <w:szCs w:val="24"/>
        </w:rPr>
        <w:t xml:space="preserve">We design a fully automated pipeline using industry-standard tools:</w:t>
      </w:r>
    </w:p>
    <w:p>
      <w:pPr>
        <w:pStyle w:val="ListParagraph"/>
        <w:numPr>
          <w:ilvl w:val="0"/>
          <w:numId w:val="2"/>
        </w:numPr>
        <w:spacing w:after="100" w:line="276"/>
      </w:pPr>
      <w:r>
        <w:rPr>
          <w:rFonts w:ascii="Times New Roman" w:cs="Times New Roman" w:eastAsia="Times New Roman" w:hAnsi="Times New Roman"/>
          <w:b/>
          <w:bCs/>
          <w:sz w:val="24"/>
          <w:szCs w:val="24"/>
        </w:rPr>
        <w:t xml:space="preserve">Airbyte: </w:t>
      </w:r>
      <w:r>
        <w:rPr>
          <w:rFonts w:ascii="Times New Roman" w:cs="Times New Roman" w:eastAsia="Times New Roman" w:hAnsi="Times New Roman"/>
          <w:sz w:val="24"/>
          <w:szCs w:val="24"/>
        </w:rPr>
        <w:t xml:space="preserve">Auto-syncs daily OHLCV data from Vietnam stock APIs to PostgreSQL raw schema.</w:t>
      </w:r>
    </w:p>
    <w:p>
      <w:pPr>
        <w:pStyle w:val="ListParagraph"/>
        <w:numPr>
          <w:ilvl w:val="0"/>
          <w:numId w:val="2"/>
        </w:numPr>
        <w:spacing w:after="100" w:line="276"/>
      </w:pPr>
      <w:r>
        <w:rPr>
          <w:rFonts w:ascii="Times New Roman" w:cs="Times New Roman" w:eastAsia="Times New Roman" w:hAnsi="Times New Roman"/>
          <w:b/>
          <w:bCs/>
          <w:sz w:val="24"/>
          <w:szCs w:val="24"/>
        </w:rPr>
        <w:t xml:space="preserve">dbt: </w:t>
      </w:r>
      <w:r>
        <w:rPr>
          <w:rFonts w:ascii="Times New Roman" w:cs="Times New Roman" w:eastAsia="Times New Roman" w:hAnsi="Times New Roman"/>
          <w:sz w:val="24"/>
          <w:szCs w:val="24"/>
        </w:rPr>
        <w:t xml:space="preserve">Two SQL models transform raw data: stg_stock_prices (clean, deduplicate) and technical_indicators (compute SMA, MACD, RSI, Bollinger Bands).</w:t>
      </w:r>
    </w:p>
    <w:p>
      <w:pPr>
        <w:pStyle w:val="ListParagraph"/>
        <w:numPr>
          <w:ilvl w:val="0"/>
          <w:numId w:val="2"/>
        </w:numPr>
        <w:spacing w:after="100" w:line="276"/>
      </w:pPr>
      <w:r>
        <w:rPr>
          <w:rFonts w:ascii="Times New Roman" w:cs="Times New Roman" w:eastAsia="Times New Roman" w:hAnsi="Times New Roman"/>
          <w:b/>
          <w:bCs/>
          <w:sz w:val="24"/>
          <w:szCs w:val="24"/>
        </w:rPr>
        <w:t xml:space="preserve">Apache Airflow: </w:t>
      </w:r>
      <w:r>
        <w:rPr>
          <w:rFonts w:ascii="Times New Roman" w:cs="Times New Roman" w:eastAsia="Times New Roman" w:hAnsi="Times New Roman"/>
          <w:sz w:val="24"/>
          <w:szCs w:val="24"/>
        </w:rPr>
        <w:t xml:space="preserve">DAG scheduled at 18:00 ICT daily (after market close): ingest, transform, predict, store, notify.</w:t>
      </w:r>
    </w:p>
    <w:p>
      <w:pPr>
        <w:pStyle w:val="ListParagraph"/>
        <w:numPr>
          <w:ilvl w:val="0"/>
          <w:numId w:val="2"/>
        </w:numPr>
        <w:spacing w:after="100" w:line="276"/>
      </w:pPr>
      <w:r>
        <w:rPr>
          <w:rFonts w:ascii="Times New Roman" w:cs="Times New Roman" w:eastAsia="Times New Roman" w:hAnsi="Times New Roman"/>
          <w:b/>
          <w:bCs/>
          <w:sz w:val="24"/>
          <w:szCs w:val="24"/>
        </w:rPr>
        <w:t xml:space="preserve">PostgreSQL: </w:t>
      </w:r>
      <w:r>
        <w:rPr>
          <w:rFonts w:ascii="Times New Roman" w:cs="Times New Roman" w:eastAsia="Times New Roman" w:hAnsi="Times New Roman"/>
          <w:sz w:val="24"/>
          <w:szCs w:val="24"/>
        </w:rPr>
        <w:t xml:space="preserve">Stores raw data, transformed features, and predictions with proper indexing.</w:t>
      </w:r>
    </w:p>
    <w:p>
      <w:pPr>
        <w:spacing w:after="160" w:line="276"/>
        <w:jc w:val="both"/>
      </w:pPr>
      <w:r>
        <w:rPr>
          <w:rFonts w:ascii="Times New Roman" w:cs="Times New Roman" w:eastAsia="Times New Roman" w:hAnsi="Times New Roman"/>
          <w:sz w:val="24"/>
          <w:szCs w:val="24"/>
        </w:rPr>
        <w:t xml:space="preserve">The entire stack is containerized via Docker Compose with five services. A Mermaid architecture diagram documents the complete data flow from market data sources through serving.</w:t>
      </w:r>
    </w:p>
    <w:p>
      <w:pPr>
        <w:spacing w:after="80"/>
      </w:pPr>
    </w:p>
    <w:p>
      <w:pPr>
        <w:pStyle w:val="Heading1"/>
      </w:pPr>
      <w:r>
        <w:rPr>
          <w:rFonts w:ascii="Times New Roman" w:cs="Times New Roman" w:eastAsia="Times New Roman" w:hAnsi="Times New Roman"/>
          <w:b/>
          <w:bCs/>
          <w:sz w:val="28"/>
          <w:szCs w:val="28"/>
        </w:rPr>
        <w:t xml:space="preserve">7. Challenges, Failures, and Lessons Learned</w:t>
      </w:r>
    </w:p>
    <w:p>
      <w:pPr>
        <w:spacing w:after="160" w:line="276"/>
        <w:jc w:val="both"/>
      </w:pPr>
      <w:r>
        <w:rPr>
          <w:rFonts w:ascii="Times New Roman" w:cs="Times New Roman" w:eastAsia="Times New Roman" w:hAnsi="Times New Roman"/>
          <w:sz w:val="24"/>
          <w:szCs w:val="24"/>
        </w:rPr>
        <w:t xml:space="preserve">This section documents the real challenges encountered during the project, including failed attempts, debugging processes, and hard-won insights from Task 1 through Task 4. These lessons are arguably more valuable than the final results themselves.</w:t>
      </w:r>
    </w:p>
    <w:p>
      <w:pPr>
        <w:pStyle w:val="Heading2"/>
      </w:pPr>
      <w:r>
        <w:rPr>
          <w:rFonts w:ascii="Times New Roman" w:cs="Times New Roman" w:eastAsia="Times New Roman" w:hAnsi="Times New Roman"/>
          <w:b/>
          <w:bCs/>
          <w:sz w:val="26"/>
          <w:szCs w:val="26"/>
        </w:rPr>
        <w:t xml:space="preserve">7.1 The Normalization Trap (Task 3 — Most Critical Discovery)</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In Task 3, we initially reused the same per-window MinMax pipeline from Tasks 1-2 for buy/sell classification. The models consistently achieved AUC of 0.50-0.52 (barely above random chance), regardless of model architecture, hyperparameter tuning, or feature engineering.</w:t>
      </w:r>
    </w:p>
    <w:p>
      <w:pPr>
        <w:spacing w:after="160" w:line="276"/>
        <w:jc w:val="both"/>
      </w:pPr>
      <w:r>
        <w:rPr>
          <w:rFonts w:ascii="Times New Roman" w:cs="Times New Roman" w:eastAsia="Times New Roman" w:hAnsi="Times New Roman"/>
          <w:b/>
          <w:bCs/>
          <w:sz w:val="24"/>
          <w:szCs w:val="24"/>
        </w:rPr>
        <w:t xml:space="preserve">Why it was confusing: </w:t>
      </w:r>
      <w:r>
        <w:rPr>
          <w:rFonts w:ascii="Times New Roman" w:cs="Times New Roman" w:eastAsia="Times New Roman" w:hAnsi="Times New Roman"/>
          <w:sz w:val="24"/>
          <w:szCs w:val="24"/>
        </w:rPr>
        <w:t xml:space="preserve">The models trained without errors, loss decreased during training, and the code was correct. Everything looked fine on the surface. We tried: deeper models (2-layer to 3-layer), more epochs (50 to 80), lower learning rate (0.001 to 0.0005), adaptive thresholds, and class weighting. Nothing worked.</w:t>
      </w:r>
    </w:p>
    <w:p>
      <w:pPr>
        <w:spacing w:after="160" w:line="276"/>
        <w:jc w:val="both"/>
      </w:pPr>
      <w:r>
        <w:rPr>
          <w:rFonts w:ascii="Times New Roman" w:cs="Times New Roman" w:eastAsia="Times New Roman" w:hAnsi="Times New Roman"/>
          <w:b/>
          <w:bCs/>
          <w:sz w:val="24"/>
          <w:szCs w:val="24"/>
        </w:rPr>
        <w:t xml:space="preserve">Root cause: </w:t>
      </w:r>
      <w:r>
        <w:rPr>
          <w:rFonts w:ascii="Times New Roman" w:cs="Times New Roman" w:eastAsia="Times New Roman" w:hAnsi="Times New Roman"/>
          <w:sz w:val="24"/>
          <w:szCs w:val="24"/>
        </w:rPr>
        <w:t xml:space="preserve">Per-window MinMax normalization maps every 30-day window to [0, 1] independently. This means a window where price rises from 100 to 110 (bullish) and a window where price falls from 110 to 100 (bearish) produce overlapping normalized patterns. The model literally cannot distinguish uptrends from downtrends because the normalization removes that directional information. For regression this is fine (we de-normalize the target the same way), but for classification we are asking the model to predict direction from features that have had direction removed.</w:t>
      </w:r>
    </w:p>
    <w:p>
      <w:pPr>
        <w:spacing w:after="160" w:line="276"/>
        <w:jc w:val="both"/>
      </w:pPr>
      <w:r>
        <w:rPr>
          <w:rFonts w:ascii="Times New Roman" w:cs="Times New Roman" w:eastAsia="Times New Roman" w:hAnsi="Times New Roman"/>
          <w:b/>
          <w:bCs/>
          <w:sz w:val="24"/>
          <w:szCs w:val="24"/>
        </w:rPr>
        <w:t xml:space="preserve">The fix: </w:t>
      </w:r>
      <w:r>
        <w:rPr>
          <w:rFonts w:ascii="Times New Roman" w:cs="Times New Roman" w:eastAsia="Times New Roman" w:hAnsi="Times New Roman"/>
          <w:sz w:val="24"/>
          <w:szCs w:val="24"/>
        </w:rPr>
        <w:t xml:space="preserve">We switched to return-based features (percentage changes, RSI, MACD histogram, volume ratios) that are inherently stationary and directional. Instead of per-window MinMax, we applied global z-score normalization (fit on training data only). This preserved the directional signal that classification requires. AUC immediately jumped from 0.50-0.52 to 0.53-0.56.</w:t>
      </w:r>
    </w:p>
    <w:p>
      <w:pPr>
        <w:spacing w:after="160" w:line="276"/>
        <w:jc w:val="both"/>
      </w:pPr>
      <w:r>
        <w:rPr>
          <w:rFonts w:ascii="Times New Roman" w:cs="Times New Roman" w:eastAsia="Times New Roman" w:hAnsi="Times New Roman"/>
          <w:b/>
          <w:bCs/>
          <w:sz w:val="24"/>
          <w:szCs w:val="24"/>
        </w:rPr>
        <w:t xml:space="preserve">Lesson: </w:t>
      </w:r>
      <w:r>
        <w:rPr>
          <w:rFonts w:ascii="Times New Roman" w:cs="Times New Roman" w:eastAsia="Times New Roman" w:hAnsi="Times New Roman"/>
          <w:sz w:val="24"/>
          <w:szCs w:val="24"/>
        </w:rPr>
        <w:t xml:space="preserve">Preprocessing that works for one task can silently sabotage another. Always verify that your preprocessing pipeline preserves the specific information your model needs. This is a common pitfall in machine learning that textbooks rarely discuss.</w:t>
      </w:r>
    </w:p>
    <w:p>
      <w:pPr>
        <w:pStyle w:val="Heading2"/>
      </w:pPr>
      <w:r>
        <w:rPr>
          <w:rFonts w:ascii="Times New Roman" w:cs="Times New Roman" w:eastAsia="Times New Roman" w:hAnsi="Times New Roman"/>
          <w:b/>
          <w:bCs/>
          <w:sz w:val="26"/>
          <w:szCs w:val="26"/>
        </w:rPr>
        <w:t xml:space="preserve">7.2 Misinterpreting Training Plateaus (Task 1)</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When our regression models stopped improving after epoch 15-20, our first instinct was the model is underfitting and we need to make it bigger.</w:t>
      </w:r>
    </w:p>
    <w:p>
      <w:pPr>
        <w:spacing w:after="160" w:line="276"/>
        <w:jc w:val="both"/>
      </w:pPr>
      <w:r>
        <w:rPr>
          <w:rFonts w:ascii="Times New Roman" w:cs="Times New Roman" w:eastAsia="Times New Roman" w:hAnsi="Times New Roman"/>
          <w:b/>
          <w:bCs/>
          <w:sz w:val="24"/>
          <w:szCs w:val="24"/>
        </w:rPr>
        <w:t xml:space="preserve">What we tried: </w:t>
      </w:r>
      <w:r>
        <w:rPr>
          <w:rFonts w:ascii="Times New Roman" w:cs="Times New Roman" w:eastAsia="Times New Roman" w:hAnsi="Times New Roman"/>
          <w:sz w:val="24"/>
          <w:szCs w:val="24"/>
        </w:rPr>
        <w:t xml:space="preserve">We added more LSTM layers, increased hidden units from 64 to 128, and added attention mechanisms. None of these helped.</w:t>
      </w:r>
    </w:p>
    <w:p>
      <w:pPr>
        <w:spacing w:after="160" w:line="276"/>
        <w:jc w:val="both"/>
      </w:pPr>
      <w:r>
        <w:rPr>
          <w:rFonts w:ascii="Times New Roman" w:cs="Times New Roman" w:eastAsia="Times New Roman" w:hAnsi="Times New Roman"/>
          <w:b/>
          <w:bCs/>
          <w:sz w:val="24"/>
          <w:szCs w:val="24"/>
        </w:rPr>
        <w:t xml:space="preserve">The diagnosis: </w:t>
      </w:r>
      <w:r>
        <w:rPr>
          <w:rFonts w:ascii="Times New Roman" w:cs="Times New Roman" w:eastAsia="Times New Roman" w:hAnsi="Times New Roman"/>
          <w:sz w:val="24"/>
          <w:szCs w:val="24"/>
        </w:rPr>
        <w:t xml:space="preserve">Learning curves showed that training loss approximately equaled validation loss at the plateau, with no significant gap between them. This is the hallmark of hitting the noise floor, not underfitting. Underfitting would show a gap where training loss could still decrease. When both losses plateau together, the model has extracted all learnable signal from the data.</w:t>
      </w:r>
    </w:p>
    <w:p>
      <w:pPr>
        <w:spacing w:after="160" w:line="276"/>
        <w:jc w:val="both"/>
      </w:pPr>
      <w:r>
        <w:rPr>
          <w:rFonts w:ascii="Times New Roman" w:cs="Times New Roman" w:eastAsia="Times New Roman" w:hAnsi="Times New Roman"/>
          <w:b/>
          <w:bCs/>
          <w:sz w:val="24"/>
          <w:szCs w:val="24"/>
        </w:rPr>
        <w:t xml:space="preserve">Why stock data has a high noise floor: </w:t>
      </w:r>
      <w:r>
        <w:rPr>
          <w:rFonts w:ascii="Times New Roman" w:cs="Times New Roman" w:eastAsia="Times New Roman" w:hAnsi="Times New Roman"/>
          <w:sz w:val="24"/>
          <w:szCs w:val="24"/>
        </w:rPr>
        <w:t xml:space="preserve">Stock prices are approximately efficient, meaning most publicly available information is already priced in. The predictable component (autocorrelation) is captured quickly; the rest is noise. No model can predict noise, no matter how complex.</w:t>
      </w:r>
    </w:p>
    <w:p>
      <w:pPr>
        <w:spacing w:after="160" w:line="276"/>
        <w:jc w:val="both"/>
      </w:pPr>
      <w:r>
        <w:rPr>
          <w:rFonts w:ascii="Times New Roman" w:cs="Times New Roman" w:eastAsia="Times New Roman" w:hAnsi="Times New Roman"/>
          <w:b/>
          <w:bCs/>
          <w:sz w:val="24"/>
          <w:szCs w:val="24"/>
        </w:rPr>
        <w:t xml:space="preserve">Lesson: </w:t>
      </w:r>
      <w:r>
        <w:rPr>
          <w:rFonts w:ascii="Times New Roman" w:cs="Times New Roman" w:eastAsia="Times New Roman" w:hAnsi="Times New Roman"/>
          <w:sz w:val="24"/>
          <w:szCs w:val="24"/>
        </w:rPr>
        <w:t xml:space="preserve">Before making a model larger, always plot learning curves. If train loss approximately equals validation loss, the problem is in the data, not the model. Adding capacity will not help and may even hurt through overfitting.</w:t>
      </w:r>
    </w:p>
    <w:p>
      <w:pPr>
        <w:pStyle w:val="Heading2"/>
      </w:pPr>
      <w:r>
        <w:rPr>
          <w:rFonts w:ascii="Times New Roman" w:cs="Times New Roman" w:eastAsia="Times New Roman" w:hAnsi="Times New Roman"/>
          <w:b/>
          <w:bCs/>
          <w:sz w:val="26"/>
          <w:szCs w:val="26"/>
        </w:rPr>
        <w:t xml:space="preserve">7.3 Threshold Leakage in Signal Labeling (Task 3)</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Our initial code computed the buy/sell threshold (median absolute forward return) on the entire dataset before splitting into train/test. This means the threshold used information from future data that the model should not have access to during training.</w:t>
      </w:r>
    </w:p>
    <w:p>
      <w:pPr>
        <w:spacing w:after="160" w:line="276"/>
        <w:jc w:val="both"/>
      </w:pPr>
      <w:r>
        <w:rPr>
          <w:rFonts w:ascii="Times New Roman" w:cs="Times New Roman" w:eastAsia="Times New Roman" w:hAnsi="Times New Roman"/>
          <w:b/>
          <w:bCs/>
          <w:sz w:val="24"/>
          <w:szCs w:val="24"/>
        </w:rPr>
        <w:t xml:space="preserve">Why it matters: </w:t>
      </w:r>
      <w:r>
        <w:rPr>
          <w:rFonts w:ascii="Times New Roman" w:cs="Times New Roman" w:eastAsia="Times New Roman" w:hAnsi="Times New Roman"/>
          <w:sz w:val="24"/>
          <w:szCs w:val="24"/>
        </w:rPr>
        <w:t xml:space="preserve">The threshold determines what counts as a buy versus sell versus hold signal. If computed on future data, the labels themselves contain future information, making the classification task artificially easier during evaluation.</w:t>
      </w:r>
    </w:p>
    <w:p>
      <w:pPr>
        <w:spacing w:after="160" w:line="276"/>
        <w:jc w:val="both"/>
      </w:pPr>
      <w:r>
        <w:rPr>
          <w:rFonts w:ascii="Times New Roman" w:cs="Times New Roman" w:eastAsia="Times New Roman" w:hAnsi="Times New Roman"/>
          <w:b/>
          <w:bCs/>
          <w:sz w:val="24"/>
          <w:szCs w:val="24"/>
        </w:rPr>
        <w:t xml:space="preserve">The fix: </w:t>
      </w:r>
      <w:r>
        <w:rPr>
          <w:rFonts w:ascii="Times New Roman" w:cs="Times New Roman" w:eastAsia="Times New Roman" w:hAnsi="Times New Roman"/>
          <w:sz w:val="24"/>
          <w:szCs w:val="24"/>
        </w:rPr>
        <w:t xml:space="preserve">We changed the threshold computation to use only the first 70% of data (the training portion). The threshold value changed slightly (e.g., FPT: 2.02% full dataset vs 1.96% train-only), and the class distribution shifted slightly, but the model evaluation became properly unbiased.</w:t>
      </w:r>
    </w:p>
    <w:p>
      <w:pPr>
        <w:spacing w:after="160" w:line="276"/>
        <w:jc w:val="both"/>
      </w:pPr>
      <w:r>
        <w:rPr>
          <w:rFonts w:ascii="Times New Roman" w:cs="Times New Roman" w:eastAsia="Times New Roman" w:hAnsi="Times New Roman"/>
          <w:b/>
          <w:bCs/>
          <w:sz w:val="24"/>
          <w:szCs w:val="24"/>
        </w:rPr>
        <w:t xml:space="preserve">Lesson: </w:t>
      </w:r>
      <w:r>
        <w:rPr>
          <w:rFonts w:ascii="Times New Roman" w:cs="Times New Roman" w:eastAsia="Times New Roman" w:hAnsi="Times New Roman"/>
          <w:sz w:val="24"/>
          <w:szCs w:val="24"/>
        </w:rPr>
        <w:t xml:space="preserve">Data leakage can occur not just in feature engineering but also in label construction. Any statistic used for labeling must be computed only on training data.</w:t>
      </w:r>
    </w:p>
    <w:p>
      <w:pPr>
        <w:pStyle w:val="Heading2"/>
      </w:pPr>
      <w:r>
        <w:rPr>
          <w:rFonts w:ascii="Times New Roman" w:cs="Times New Roman" w:eastAsia="Times New Roman" w:hAnsi="Times New Roman"/>
          <w:b/>
          <w:bCs/>
          <w:sz w:val="26"/>
          <w:szCs w:val="26"/>
        </w:rPr>
        <w:t xml:space="preserve">7.4 Naive Baseline Humiliation (Task 1-2)</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After implementing all 15 features, three model architectures, and careful hyperparameter tuning, we added the naive baseline (tomorrow = today) as a sanity check. The naive baseline beat every single model on both Nasdaq (0/4 models beat naive) and Vietnam (0/8 stocks beat naive).</w:t>
      </w:r>
    </w:p>
    <w:p>
      <w:pPr>
        <w:spacing w:after="160" w:line="276"/>
        <w:jc w:val="both"/>
      </w:pPr>
      <w:r>
        <w:rPr>
          <w:rFonts w:ascii="Times New Roman" w:cs="Times New Roman" w:eastAsia="Times New Roman" w:hAnsi="Times New Roman"/>
          <w:b/>
          <w:bCs/>
          <w:sz w:val="24"/>
          <w:szCs w:val="24"/>
        </w:rPr>
        <w:t xml:space="preserve">Initial reaction: </w:t>
      </w:r>
      <w:r>
        <w:rPr>
          <w:rFonts w:ascii="Times New Roman" w:cs="Times New Roman" w:eastAsia="Times New Roman" w:hAnsi="Times New Roman"/>
          <w:sz w:val="24"/>
          <w:szCs w:val="24"/>
        </w:rPr>
        <w:t xml:space="preserve">We assumed there was a bug in our code or evaluation pipeline. We spent hours checking the naive baseline implementation, the evaluation metrics, and the inverse transform. Everything was correct.</w:t>
      </w:r>
    </w:p>
    <w:p>
      <w:pPr>
        <w:spacing w:after="160" w:line="276"/>
        <w:jc w:val="both"/>
      </w:pPr>
      <w:r>
        <w:rPr>
          <w:rFonts w:ascii="Times New Roman" w:cs="Times New Roman" w:eastAsia="Times New Roman" w:hAnsi="Times New Roman"/>
          <w:b/>
          <w:bCs/>
          <w:sz w:val="24"/>
          <w:szCs w:val="24"/>
        </w:rPr>
        <w:t xml:space="preserve">Understanding: </w:t>
      </w:r>
      <w:r>
        <w:rPr>
          <w:rFonts w:ascii="Times New Roman" w:cs="Times New Roman" w:eastAsia="Times New Roman" w:hAnsi="Times New Roman"/>
          <w:sz w:val="24"/>
          <w:szCs w:val="24"/>
        </w:rPr>
        <w:t xml:space="preserve">For k=1 prediction with per-window MinMax normalization, the naive predictor benefits directly from the normalization scheme. The last value in the window is always close to the upper range of normalized values, making the persistence prediction inherently strong. Combined with the fact that stock prices genuinely follow near-random walks at daily frequency, the naive baseline is mathematically very hard to beat.</w:t>
      </w:r>
    </w:p>
    <w:p>
      <w:pPr>
        <w:spacing w:after="160" w:line="276"/>
        <w:jc w:val="both"/>
      </w:pPr>
      <w:r>
        <w:rPr>
          <w:rFonts w:ascii="Times New Roman" w:cs="Times New Roman" w:eastAsia="Times New Roman" w:hAnsi="Times New Roman"/>
          <w:b/>
          <w:bCs/>
          <w:sz w:val="24"/>
          <w:szCs w:val="24"/>
        </w:rPr>
        <w:t xml:space="preserve">Lesson: </w:t>
      </w:r>
      <w:r>
        <w:rPr>
          <w:rFonts w:ascii="Times New Roman" w:cs="Times New Roman" w:eastAsia="Times New Roman" w:hAnsi="Times New Roman"/>
          <w:sz w:val="24"/>
          <w:szCs w:val="24"/>
        </w:rPr>
        <w:t xml:space="preserve">Always evaluate against baselines BEFORE spending time on complex models. If we had started with the naive baseline, we would have calibrated our expectations correctly and focused effort on longer horizons where deep learning adds more value.</w:t>
      </w:r>
    </w:p>
    <w:p>
      <w:pPr>
        <w:pStyle w:val="Heading2"/>
      </w:pPr>
      <w:r>
        <w:rPr>
          <w:rFonts w:ascii="Times New Roman" w:cs="Times New Roman" w:eastAsia="Times New Roman" w:hAnsi="Times New Roman"/>
          <w:b/>
          <w:bCs/>
          <w:sz w:val="26"/>
          <w:szCs w:val="26"/>
        </w:rPr>
        <w:t xml:space="preserve">7.5 Portfolio Universe Collapse (Task 4)</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After training LSTM forward-return models for 30 stocks, we filtered for stocks with positive DL-enhanced returns. Only 7 out of 30 stocks survived (23 were excluded for having negative DL-enhanced returns, some as extreme as -161%).</w:t>
      </w:r>
    </w:p>
    <w:p>
      <w:pPr>
        <w:spacing w:after="160" w:line="276"/>
        <w:jc w:val="both"/>
      </w:pPr>
      <w:r>
        <w:rPr>
          <w:rFonts w:ascii="Times New Roman" w:cs="Times New Roman" w:eastAsia="Times New Roman" w:hAnsi="Times New Roman"/>
          <w:b/>
          <w:bCs/>
          <w:sz w:val="24"/>
          <w:szCs w:val="24"/>
        </w:rPr>
        <w:t xml:space="preserve">Why it was concerning: </w:t>
      </w:r>
      <w:r>
        <w:rPr>
          <w:rFonts w:ascii="Times New Roman" w:cs="Times New Roman" w:eastAsia="Times New Roman" w:hAnsi="Times New Roman"/>
          <w:sz w:val="24"/>
          <w:szCs w:val="24"/>
        </w:rPr>
        <w:t xml:space="preserve">A portfolio of only 7 stocks lacks diversification. The extreme negative DL-enhanced returns for most stocks suggested the model was either poorly calibrated or the market conditions were genuinely bearish.</w:t>
      </w:r>
    </w:p>
    <w:p>
      <w:pPr>
        <w:spacing w:after="160" w:line="276"/>
        <w:jc w:val="both"/>
      </w:pPr>
      <w:r>
        <w:rPr>
          <w:rFonts w:ascii="Times New Roman" w:cs="Times New Roman" w:eastAsia="Times New Roman" w:hAnsi="Times New Roman"/>
          <w:b/>
          <w:bCs/>
          <w:sz w:val="24"/>
          <w:szCs w:val="24"/>
        </w:rPr>
        <w:t xml:space="preserve">The fix: </w:t>
      </w:r>
      <w:r>
        <w:rPr>
          <w:rFonts w:ascii="Times New Roman" w:cs="Times New Roman" w:eastAsia="Times New Roman" w:hAnsi="Times New Roman"/>
          <w:sz w:val="24"/>
          <w:szCs w:val="24"/>
        </w:rPr>
        <w:t xml:space="preserve">We added a fallback guard (minimum 3 stocks required) and kept the 7-stock universe with position size limits (15-25% depending on profile). We also toned down claims from the model adds real value to improves ex-ante Sharpe under our assumptions, acknowledging this is in-sample optimization.</w:t>
      </w:r>
    </w:p>
    <w:p>
      <w:pPr>
        <w:spacing w:after="160" w:line="276"/>
        <w:jc w:val="both"/>
      </w:pPr>
      <w:r>
        <w:rPr>
          <w:rFonts w:ascii="Times New Roman" w:cs="Times New Roman" w:eastAsia="Times New Roman" w:hAnsi="Times New Roman"/>
          <w:b/>
          <w:bCs/>
          <w:sz w:val="24"/>
          <w:szCs w:val="24"/>
        </w:rPr>
        <w:t xml:space="preserve">Lesson: </w:t>
      </w:r>
      <w:r>
        <w:rPr>
          <w:rFonts w:ascii="Times New Roman" w:cs="Times New Roman" w:eastAsia="Times New Roman" w:hAnsi="Times New Roman"/>
          <w:sz w:val="24"/>
          <w:szCs w:val="24"/>
        </w:rPr>
        <w:t xml:space="preserve">DL predictions for individual stocks are noisy and often wrong in magnitude. Their value is in relative ranking (which stocks are better than others), not in absolute return forecasting. Portfolio optimization can still benefit from noisy but relatively informative predictions.</w:t>
      </w:r>
    </w:p>
    <w:p>
      <w:pPr>
        <w:pStyle w:val="Heading2"/>
      </w:pPr>
      <w:r>
        <w:rPr>
          <w:rFonts w:ascii="Times New Roman" w:cs="Times New Roman" w:eastAsia="Times New Roman" w:hAnsi="Times New Roman"/>
          <w:b/>
          <w:bCs/>
          <w:sz w:val="26"/>
          <w:szCs w:val="26"/>
        </w:rPr>
        <w:t xml:space="preserve">7.6 Temporal Leakage in Pooled Multi-Stock Data (Task 3)</w:t>
      </w:r>
    </w:p>
    <w:p>
      <w:pPr>
        <w:spacing w:after="160" w:line="276"/>
        <w:jc w:val="both"/>
      </w:pPr>
      <w:r>
        <w:rPr>
          <w:rFonts w:ascii="Times New Roman" w:cs="Times New Roman" w:eastAsia="Times New Roman" w:hAnsi="Times New Roman"/>
          <w:b/>
          <w:bCs/>
          <w:sz w:val="24"/>
          <w:szCs w:val="24"/>
        </w:rPr>
        <w:t xml:space="preserve">What happened: </w:t>
      </w:r>
      <w:r>
        <w:rPr>
          <w:rFonts w:ascii="Times New Roman" w:cs="Times New Roman" w:eastAsia="Times New Roman" w:hAnsi="Times New Roman"/>
          <w:sz w:val="24"/>
          <w:szCs w:val="24"/>
        </w:rPr>
        <w:t xml:space="preserve">When pooling data from 8 Vietnamese stocks for Task 3, we initially concatenated all windows and then split 70/15/15. This is wrong because stocks with longer histories dominate the training set, and the chronological ordering across stocks does not align. Stock A from 2010 and Stock B from 2020 get mixed together.</w:t>
      </w:r>
    </w:p>
    <w:p>
      <w:pPr>
        <w:spacing w:after="160" w:line="276"/>
        <w:jc w:val="both"/>
      </w:pPr>
      <w:r>
        <w:rPr>
          <w:rFonts w:ascii="Times New Roman" w:cs="Times New Roman" w:eastAsia="Times New Roman" w:hAnsi="Times New Roman"/>
          <w:b/>
          <w:bCs/>
          <w:sz w:val="24"/>
          <w:szCs w:val="24"/>
        </w:rPr>
        <w:t xml:space="preserve">The fix: </w:t>
      </w:r>
      <w:r>
        <w:rPr>
          <w:rFonts w:ascii="Times New Roman" w:cs="Times New Roman" w:eastAsia="Times New Roman" w:hAnsi="Times New Roman"/>
          <w:sz w:val="24"/>
          <w:szCs w:val="24"/>
        </w:rPr>
        <w:t xml:space="preserve">Split each stock chronologically (70/15/15) first, then pool the training portions together, validation portions together, and test portions together. This ensures no temporal leakage across stocks.</w:t>
      </w:r>
    </w:p>
    <w:p>
      <w:pPr>
        <w:pStyle w:val="Heading2"/>
      </w:pPr>
      <w:r>
        <w:rPr>
          <w:rFonts w:ascii="Times New Roman" w:cs="Times New Roman" w:eastAsia="Times New Roman" w:hAnsi="Times New Roman"/>
          <w:b/>
          <w:bCs/>
          <w:sz w:val="26"/>
          <w:szCs w:val="26"/>
        </w:rPr>
        <w:t xml:space="preserve">7.7 Code Integration Bugs</w:t>
      </w:r>
    </w:p>
    <w:p>
      <w:pPr>
        <w:spacing w:after="160" w:line="276"/>
        <w:jc w:val="both"/>
      </w:pPr>
      <w:r>
        <w:rPr>
          <w:rFonts w:ascii="Times New Roman" w:cs="Times New Roman" w:eastAsia="Times New Roman" w:hAnsi="Times New Roman"/>
          <w:sz w:val="24"/>
          <w:szCs w:val="24"/>
        </w:rPr>
        <w:t xml:space="preserve">Building a large notebook with many helper functions led to several integration bugs that consumed significant debugging time:</w:t>
      </w:r>
    </w:p>
    <w:p>
      <w:pPr>
        <w:pStyle w:val="ListParagraph"/>
        <w:numPr>
          <w:ilvl w:val="0"/>
          <w:numId w:val="2"/>
        </w:numPr>
        <w:spacing w:after="100" w:line="276"/>
      </w:pPr>
      <w:r>
        <w:rPr>
          <w:rFonts w:ascii="Times New Roman" w:cs="Times New Roman" w:eastAsia="Times New Roman" w:hAnsi="Times New Roman"/>
          <w:b/>
          <w:bCs/>
          <w:sz w:val="24"/>
          <w:szCs w:val="24"/>
        </w:rPr>
        <w:t xml:space="preserve">chrono_split return type: </w:t>
      </w:r>
      <w:r>
        <w:rPr>
          <w:rFonts w:ascii="Times New Roman" w:cs="Times New Roman" w:eastAsia="Times New Roman" w:hAnsi="Times New Roman"/>
          <w:sz w:val="24"/>
          <w:szCs w:val="24"/>
        </w:rPr>
        <w:t xml:space="preserve">Our helper returns a dictionary with keys like X_train, y_train. But in later tasks, we accidentally used tuple unpacking, which unpacks the dictionary keys (strings) instead of arrays, causing cryptic errors like str object has no attribute shape several cells later.</w:t>
      </w:r>
    </w:p>
    <w:p>
      <w:pPr>
        <w:pStyle w:val="ListParagraph"/>
        <w:numPr>
          <w:ilvl w:val="0"/>
          <w:numId w:val="2"/>
        </w:numPr>
        <w:spacing w:after="100" w:line="276"/>
      </w:pPr>
      <w:r>
        <w:rPr>
          <w:rFonts w:ascii="Times New Roman" w:cs="Times New Roman" w:eastAsia="Times New Roman" w:hAnsi="Times New Roman"/>
          <w:b/>
          <w:bCs/>
          <w:sz w:val="24"/>
          <w:szCs w:val="24"/>
        </w:rPr>
        <w:t xml:space="preserve">naive_baseline IndexError: </w:t>
      </w:r>
      <w:r>
        <w:rPr>
          <w:rFonts w:ascii="Times New Roman" w:cs="Times New Roman" w:eastAsia="Times New Roman" w:hAnsi="Times New Roman"/>
          <w:sz w:val="24"/>
          <w:szCs w:val="24"/>
        </w:rPr>
        <w:t xml:space="preserve">The naive baseline function was hardcoded with close_idx=3, which works for 15-feature data but crashes on single-feature data (index 3 out of range for shape (n,30,1)). Fixed by adding a target_idx parameter.</w:t>
      </w:r>
    </w:p>
    <w:p>
      <w:pPr>
        <w:pStyle w:val="ListParagraph"/>
        <w:numPr>
          <w:ilvl w:val="0"/>
          <w:numId w:val="2"/>
        </w:numPr>
        <w:spacing w:after="100" w:line="276"/>
      </w:pPr>
      <w:r>
        <w:rPr>
          <w:rFonts w:ascii="Times New Roman" w:cs="Times New Roman" w:eastAsia="Times New Roman" w:hAnsi="Times New Roman"/>
          <w:b/>
          <w:bCs/>
          <w:sz w:val="24"/>
          <w:szCs w:val="24"/>
        </w:rPr>
        <w:t xml:space="preserve">evaluate_model with k-consecutive: </w:t>
      </w:r>
      <w:r>
        <w:rPr>
          <w:rFonts w:ascii="Times New Roman" w:cs="Times New Roman" w:eastAsia="Times New Roman" w:hAnsi="Times New Roman"/>
          <w:sz w:val="24"/>
          <w:szCs w:val="24"/>
        </w:rPr>
        <w:t xml:space="preserve">When norms has n_samples entries but y_true has n_samples*k entries after flattening, the inverse transform loop crashes. Fixed by detecting the mismatch and reshaping to (n_samples, k) before applying per-sample norms.</w:t>
      </w:r>
    </w:p>
    <w:p>
      <w:pPr>
        <w:pStyle w:val="ListParagraph"/>
        <w:numPr>
          <w:ilvl w:val="0"/>
          <w:numId w:val="2"/>
        </w:numPr>
        <w:spacing w:after="100" w:line="276"/>
      </w:pPr>
      <w:r>
        <w:rPr>
          <w:rFonts w:ascii="Times New Roman" w:cs="Times New Roman" w:eastAsia="Times New Roman" w:hAnsi="Times New Roman"/>
          <w:b/>
          <w:bCs/>
          <w:sz w:val="24"/>
          <w:szCs w:val="24"/>
        </w:rPr>
        <w:t xml:space="preserve">Stale labels: </w:t>
      </w:r>
      <w:r>
        <w:rPr>
          <w:rFonts w:ascii="Times New Roman" w:cs="Times New Roman" w:eastAsia="Times New Roman" w:hAnsi="Times New Roman"/>
          <w:sz w:val="24"/>
          <w:szCs w:val="24"/>
        </w:rPr>
        <w:t xml:space="preserve">After adding Adjusted Close (14 to 15 features), many markdown cells still said 14 features. Fixed with dynamic len(FEATURE_COLS) and f-strings.</w:t>
      </w:r>
    </w:p>
    <w:p>
      <w:pPr>
        <w:spacing w:after="160" w:line="276"/>
        <w:jc w:val="both"/>
      </w:pPr>
      <w:r>
        <w:rPr>
          <w:rFonts w:ascii="Times New Roman" w:cs="Times New Roman" w:eastAsia="Times New Roman" w:hAnsi="Times New Roman"/>
          <w:sz w:val="24"/>
          <w:szCs w:val="24"/>
        </w:rPr>
        <w:t xml:space="preserve">Lesson: Document function signatures clearly, use type hints, and test each function in isolation before using it in a pipeline.</w:t>
      </w:r>
    </w:p>
    <w:p>
      <w:pPr>
        <w:pStyle w:val="Heading1"/>
      </w:pPr>
      <w:r>
        <w:rPr>
          <w:rFonts w:ascii="Times New Roman" w:cs="Times New Roman" w:eastAsia="Times New Roman" w:hAnsi="Times New Roman"/>
          <w:b/>
          <w:bCs/>
          <w:sz w:val="28"/>
          <w:szCs w:val="28"/>
        </w:rPr>
        <w:t xml:space="preserve">8. Conclusions</w:t>
      </w:r>
    </w:p>
    <w:p>
      <w:pPr>
        <w:pStyle w:val="ListParagraph"/>
        <w:numPr>
          <w:ilvl w:val="0"/>
          <w:numId w:val="3"/>
        </w:numPr>
        <w:spacing w:after="120" w:line="276"/>
      </w:pPr>
      <w:r>
        <w:rPr>
          <w:rFonts w:ascii="Times New Roman" w:cs="Times New Roman" w:eastAsia="Times New Roman" w:hAnsi="Times New Roman"/>
          <w:b/>
          <w:bCs/>
          <w:sz w:val="24"/>
          <w:szCs w:val="24"/>
        </w:rPr>
        <w:t xml:space="preserve">Naive baselines are extremely strong </w:t>
      </w:r>
      <w:r>
        <w:rPr>
          <w:rFonts w:ascii="Times New Roman" w:cs="Times New Roman" w:eastAsia="Times New Roman" w:hAnsi="Times New Roman"/>
          <w:sz w:val="24"/>
          <w:szCs w:val="24"/>
        </w:rPr>
        <w:t xml:space="preserve">at short horizons. No model beats persistence for k=1 prediction on either Nasdaq or Vietnam. This is expected from financial theory and does not indicate model failure.</w:t>
      </w:r>
    </w:p>
    <w:p>
      <w:pPr>
        <w:pStyle w:val="ListParagraph"/>
        <w:numPr>
          <w:ilvl w:val="0"/>
          <w:numId w:val="3"/>
        </w:numPr>
        <w:spacing w:after="120" w:line="276"/>
      </w:pPr>
      <w:r>
        <w:rPr>
          <w:rFonts w:ascii="Times New Roman" w:cs="Times New Roman" w:eastAsia="Times New Roman" w:hAnsi="Times New Roman"/>
          <w:b/>
          <w:bCs/>
          <w:sz w:val="24"/>
          <w:szCs w:val="24"/>
        </w:rPr>
        <w:t xml:space="preserve">Feature representation matters more than architecture. </w:t>
      </w:r>
      <w:r>
        <w:rPr>
          <w:rFonts w:ascii="Times New Roman" w:cs="Times New Roman" w:eastAsia="Times New Roman" w:hAnsi="Times New Roman"/>
          <w:sz w:val="24"/>
          <w:szCs w:val="24"/>
        </w:rPr>
        <w:t xml:space="preserve">Switching from normalized prices to return-based features was the biggest improvement for classification, not making models deeper or wider.</w:t>
      </w:r>
    </w:p>
    <w:p>
      <w:pPr>
        <w:pStyle w:val="ListParagraph"/>
        <w:numPr>
          <w:ilvl w:val="0"/>
          <w:numId w:val="3"/>
        </w:numPr>
        <w:spacing w:after="120" w:line="276"/>
      </w:pPr>
      <w:r>
        <w:rPr>
          <w:rFonts w:ascii="Times New Roman" w:cs="Times New Roman" w:eastAsia="Times New Roman" w:hAnsi="Times New Roman"/>
          <w:b/>
          <w:bCs/>
          <w:sz w:val="24"/>
          <w:szCs w:val="24"/>
        </w:rPr>
        <w:t xml:space="preserve">More features can hurt. </w:t>
      </w:r>
      <w:r>
        <w:rPr>
          <w:rFonts w:ascii="Times New Roman" w:cs="Times New Roman" w:eastAsia="Times New Roman" w:hAnsi="Times New Roman"/>
          <w:sz w:val="24"/>
          <w:szCs w:val="24"/>
        </w:rPr>
        <w:t xml:space="preserve">The curse of dimensionality is real: single-feature models outperform 15-feature models at k=1.</w:t>
      </w:r>
    </w:p>
    <w:p>
      <w:pPr>
        <w:pStyle w:val="ListParagraph"/>
        <w:numPr>
          <w:ilvl w:val="0"/>
          <w:numId w:val="3"/>
        </w:numPr>
        <w:spacing w:after="120" w:line="276"/>
      </w:pPr>
      <w:r>
        <w:rPr>
          <w:rFonts w:ascii="Times New Roman" w:cs="Times New Roman" w:eastAsia="Times New Roman" w:hAnsi="Times New Roman"/>
          <w:b/>
          <w:bCs/>
          <w:sz w:val="24"/>
          <w:szCs w:val="24"/>
        </w:rPr>
        <w:t xml:space="preserve">Statistical edge does not equal profit. </w:t>
      </w:r>
      <w:r>
        <w:rPr>
          <w:rFonts w:ascii="Times New Roman" w:cs="Times New Roman" w:eastAsia="Times New Roman" w:hAnsi="Times New Roman"/>
          <w:sz w:val="24"/>
          <w:szCs w:val="24"/>
        </w:rPr>
        <w:t xml:space="preserve">AUC &gt; 0.50 is insufficient for profitable trading after transaction costs (backtest: -41% vs +11.5% buy-and-hold).</w:t>
      </w:r>
    </w:p>
    <w:p>
      <w:pPr>
        <w:pStyle w:val="ListParagraph"/>
        <w:numPr>
          <w:ilvl w:val="0"/>
          <w:numId w:val="3"/>
        </w:numPr>
        <w:spacing w:after="120" w:line="276"/>
      </w:pPr>
      <w:r>
        <w:rPr>
          <w:rFonts w:ascii="Times New Roman" w:cs="Times New Roman" w:eastAsia="Times New Roman" w:hAnsi="Times New Roman"/>
          <w:b/>
          <w:bCs/>
          <w:sz w:val="24"/>
          <w:szCs w:val="24"/>
        </w:rPr>
        <w:t xml:space="preserve">DL improves portfolio construction. </w:t>
      </w:r>
      <w:r>
        <w:rPr>
          <w:rFonts w:ascii="Times New Roman" w:cs="Times New Roman" w:eastAsia="Times New Roman" w:hAnsi="Times New Roman"/>
          <w:sz w:val="24"/>
          <w:szCs w:val="24"/>
        </w:rPr>
        <w:t xml:space="preserve">LSTM predictions improve ex-ante Sharpe by +0.95, demonstrating value in the portfolio optimization context even when individual predictions are noisy.</w:t>
      </w:r>
    </w:p>
    <w:p>
      <w:pPr>
        <w:pStyle w:val="ListParagraph"/>
        <w:numPr>
          <w:ilvl w:val="0"/>
          <w:numId w:val="3"/>
        </w:numPr>
        <w:spacing w:after="120" w:line="276"/>
      </w:pPr>
      <w:r>
        <w:rPr>
          <w:rFonts w:ascii="Times New Roman" w:cs="Times New Roman" w:eastAsia="Times New Roman" w:hAnsi="Times New Roman"/>
          <w:b/>
          <w:bCs/>
          <w:sz w:val="24"/>
          <w:szCs w:val="24"/>
        </w:rPr>
        <w:t xml:space="preserve">Preprocessing can silently sabotage models. </w:t>
      </w:r>
      <w:r>
        <w:rPr>
          <w:rFonts w:ascii="Times New Roman" w:cs="Times New Roman" w:eastAsia="Times New Roman" w:hAnsi="Times New Roman"/>
          <w:sz w:val="24"/>
          <w:szCs w:val="24"/>
        </w:rPr>
        <w:t xml:space="preserve">Per-window MinMax destroys classification signal. Always verify what information your normalization preserves.</w:t>
      </w:r>
    </w:p>
    <w:p>
      <w:pPr>
        <w:spacing w:after="80"/>
      </w:pPr>
    </w:p>
    <w:p>
      <w:pPr>
        <w:spacing w:after="160" w:line="276"/>
        <w:jc w:val="both"/>
      </w:pPr>
      <w:r>
        <w:rPr>
          <w:rFonts w:ascii="Times New Roman" w:cs="Times New Roman" w:eastAsia="Times New Roman" w:hAnsi="Times New Roman"/>
          <w:sz w:val="24"/>
          <w:szCs w:val="24"/>
        </w:rPr>
        <w:t xml:space="preserve">Future work could explore transformer architectures, reinforcement learning for portfolio optimization, alternative data (news sentiment), and rolling out-of-sample portfolio backtesting to validate economic value.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STOCK MARKET PREDICTION USING DEEP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60" w:before="20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c2b4fb8f6489c5ee203bc4ca8cd209a5800ae7.png"/><Relationship Id="rId10" Type="http://schemas.openxmlformats.org/officeDocument/2006/relationships/image" Target="media/59151263fd2923546bf0df89c0e2eb5daa139628.png"/><Relationship Id="rId11" Type="http://schemas.openxmlformats.org/officeDocument/2006/relationships/image" Target="media/b00d0588e3bc2783642b295048636f725267cd5f.png"/><Relationship Id="rId12" Type="http://schemas.openxmlformats.org/officeDocument/2006/relationships/image" Target="media/9fd61688d47e907776de99518d45f6f086665215.png"/><Relationship Id="rId13" Type="http://schemas.openxmlformats.org/officeDocument/2006/relationships/image" Target="media/440434bc4b1a7b6de291e1d4a7a69e9a2feac48c.png"/><Relationship Id="rId14" Type="http://schemas.openxmlformats.org/officeDocument/2006/relationships/image" Target="media/f74eefe4560b6f2ca30ead6ac6a083214c615a9a.png"/><Relationship Id="rId15" Type="http://schemas.openxmlformats.org/officeDocument/2006/relationships/image" Target="media/ef8bdf44f2b394cc12a388921b027d4343782a49.png"/><Relationship Id="rId16" Type="http://schemas.openxmlformats.org/officeDocument/2006/relationships/image" Target="media/5cb2155bd308a67a1a8f3d02e6ceaf367db73fcb.png"/><Relationship Id="rId17" Type="http://schemas.openxmlformats.org/officeDocument/2006/relationships/image" Target="media/66e7a10f21c3a8dc7c2558117e20f3c5477eefdd.png"/><Relationship Id="rId18" Type="http://schemas.openxmlformats.org/officeDocument/2006/relationships/image" Target="media/7b044c347bfe7ba2775e3fb2e0b934b217a4cfb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2026-05-11T15:31:24.324Z</dcterms:created>
  <dcterms:modified xsi:type="dcterms:W3CDTF">2026-05-11T15:31:24.324Z</dcterms:modified>
</cp:coreProperties>
</file>

<file path=docProps/custom.xml><?xml version="1.0" encoding="utf-8"?>
<Properties xmlns="http://schemas.openxmlformats.org/officeDocument/2006/custom-properties" xmlns:vt="http://schemas.openxmlformats.org/officeDocument/2006/docPropsVTypes"/>
</file>