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2"/>
          <w:szCs w:val="42"/>
        </w:rPr>
        <w:t xml:space="preserve">BES Instrument Reference</w:t>
      </w:r>
    </w:p>
    <w:p>
      <w:pPr>
        <w:spacing w:after="200"/>
      </w:pPr>
      <w:r>
        <w:rPr>
          <w:color w:val="555555"/>
          <w:sz w:val="24"/>
          <w:szCs w:val="24"/>
        </w:rPr>
        <w:t xml:space="preserve">Voter priority data by election cycle — working reference and methods appendix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Two purposes. As a working reference it records, per cycle, which file to load, which variables to read, and how their codes decode — so the extraction can be written without repeating the investigation. As a methods appendix it documents the fact that the BES condition is not one instrument across eight elections but several, which is what the era-stratified reporting rests on.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Verified directly against the data files and their user guides. Variable names, code frames and scale endpoints below were read from the files themselves, not from memory.</w:t>
      </w:r>
    </w:p>
    <w:p>
      <w:pPr>
        <w:pStyle w:val="Heading1"/>
      </w:pPr>
      <w:r>
        <w:t xml:space="preserve">1. Summary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900"/>
        <w:gridCol w:w="1700"/>
        <w:gridCol w:w="2600"/>
      </w:tblGrid>
      <w:tr>
        <w:trPr>
          <w:cantSplit/>
          <w:tblHeader/>
        </w:trPr>
        <w:tc>
          <w:tcPr>
            <w:tcW w:type="dxa" w:w="900"/>
            <w:shd w:fill="1F3864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Cycle</w:t>
            </w:r>
          </w:p>
        </w:tc>
        <w:tc>
          <w:tcPr>
            <w:tcW w:type="dxa" w:w="1500"/>
            <w:shd w:fill="1F3864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Study</w:t>
            </w:r>
          </w:p>
        </w:tc>
        <w:tc>
          <w:tcPr>
            <w:tcW w:type="dxa" w:w="1900"/>
            <w:shd w:fill="1F3864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Instrument</w:t>
            </w:r>
          </w:p>
        </w:tc>
        <w:tc>
          <w:tcPr>
            <w:tcW w:type="dxa" w:w="1700"/>
            <w:shd w:fill="1F3864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2600"/>
            <w:shd w:fill="1F3864" w:val="clear"/>
          </w:tcPr>
          <w:p>
            <w:pPr>
              <w:spacing w:after="50" w:before="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1997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SN 3890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Campaign panel (4 waves)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F2F (wave A) + telephone (B–D)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Have file. Salience pre-election; direction 10 months early.</w:t>
            </w:r>
          </w:p>
        </w:tc>
      </w:tr>
      <w:tr>
        <w:trPr>
          <w:cantSplit/>
          <w:tblHeader w:val="false"/>
        </w:trPr>
        <w:tc>
          <w:tcPr>
            <w:tcW w:type="dxa" w:w="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2001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SN 4620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Pre/post panel, waves 1–2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In-person CAPI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Have file. Salience and direction both pre-election. Best cycle so far.</w:t>
            </w:r>
          </w:p>
        </w:tc>
      </w:tr>
      <w:tr>
        <w:trPr>
          <w:cantSplit/>
          <w:tblHeader w:val="false"/>
        </w:trPr>
        <w:tc>
          <w:tcPr>
            <w:tcW w:type="dxa" w:w="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2005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SN 5496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Rolling campaign panel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Internet (YouGov)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Have file. Salience and direction both pre-election. Labels intact.</w:t>
            </w:r>
          </w:p>
        </w:tc>
      </w:tr>
      <w:tr>
        <w:trPr>
          <w:cantSplit/>
          <w:tblHeader w:val="false"/>
        </w:trPr>
        <w:tc>
          <w:tcPr>
            <w:tcW w:type="dxa" w:w="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2010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TBC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F2F survey / campaign panel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Mixed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yet obtained. Sits on the era boundary — choose deliberately.</w:t>
            </w:r>
          </w:p>
        </w:tc>
      </w:tr>
      <w:tr>
        <w:trPr>
          <w:cantSplit/>
          <w:tblHeader w:val="false"/>
        </w:trPr>
        <w:tc>
          <w:tcPr>
            <w:tcW w:type="dxa" w:w="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2015–2024</w:t>
            </w:r>
          </w:p>
        </w:tc>
        <w:tc>
          <w:tcPr>
            <w:tcW w:type="dxa" w:w="15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SN 8202</w:t>
            </w:r>
          </w:p>
        </w:tc>
        <w:tc>
          <w:tcPr>
            <w:tcW w:type="dxa" w:w="19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Combined Internet Panel</w:t>
            </w:r>
          </w:p>
        </w:tc>
        <w:tc>
          <w:tcPr>
            <w:tcW w:type="dxa" w:w="17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Internet (YouGov)</w:t>
            </w:r>
          </w:p>
        </w:tc>
        <w:tc>
          <w:tcPr>
            <w:tcW w:type="dxa" w:w="2600"/>
          </w:tcPr>
          <w:p>
            <w:pPr>
              <w:spacing w:after="50" w:before="5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yet obtained. One instrument covering four cycles — highest-value next download.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Per-cycle detail</w:t>
      </w:r>
    </w:p>
    <w:p>
      <w:pPr>
        <w:pStyle w:val="Heading2"/>
      </w:pPr>
      <w:r>
        <w:t xml:space="preserve">1997 — SN 3890, British General Election Study: Campaign Panel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File:  </w:t>
      </w:r>
      <w:r>
        <w:rPr>
          <w:sz w:val="21"/>
          <w:szCs w:val="21"/>
        </w:rPr>
        <w:t xml:space="preserve">panel97u.dta — 3,662 rows, 772 variables. Value labels INTACT.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Wave structure:  </w:t>
      </w:r>
      <w:r>
        <w:rPr>
          <w:sz w:val="21"/>
          <w:szCs w:val="21"/>
        </w:rPr>
        <w:t xml:space="preserve">A = 10 May–31 Jul 1996 (the 1996 British Social Attitudes survey, hour-long face-to-face). B = 1–16 Apr 1997 (15-min telephone). C = 17–30 Apr 1997 (15-min telephone). D = May 1997, post-election. Election was 1 May. Variable suffixes A/B/C/D denote wave.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Productive cases:  </w:t>
      </w:r>
      <w:r>
        <w:rPr>
          <w:sz w:val="21"/>
          <w:szCs w:val="21"/>
        </w:rPr>
        <w:t xml:space="preserve">wave A 3,662; B 1,800; C 1,809; D 2,047. Only 1,422 completed all four.</w:t>
      </w:r>
    </w:p>
    <w:p>
      <w:pPr>
        <w:pStyle w:val="Heading3"/>
      </w:pPr>
      <w:r>
        <w:t xml:space="preserve">Salience — wave C, immediately pre-election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Variables:  </w:t>
      </w:r>
      <w:r>
        <w:rPr>
          <w:sz w:val="21"/>
          <w:szCs w:val="21"/>
        </w:rPr>
        <w:t xml:space="preserve">twois1cb / twois1cc (issue matters most in deciding vote), twois2cb / twois2cc (next most). The cb/cc split is questionnaire version, not wave — combine both.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Code frame:  </w:t>
      </w:r>
      <w:r>
        <w:rPr>
          <w:sz w:val="21"/>
          <w:szCs w:val="21"/>
        </w:rPr>
        <w:t xml:space="preserve">39 categories at three-digit codes. Economic 111–119; health 121; pensions 122; family values 123; welfare 124; housing 125; equality 126; law and order 127; race/immigration 128; education 130; transport 141; environment 142; EU 150; constitutional 161–169; NI/terrorism 170; defence/foreign 181–183; leaders and parties 191–195; sleaze 201; other 202–209. Missing: −2 skip, 997 uncodeable, 998 DK, 999 refusal.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Note:  </w:t>
      </w:r>
      <w:r>
        <w:rPr>
          <w:sz w:val="21"/>
          <w:szCs w:val="21"/>
        </w:rPr>
        <w:t xml:space="preserve">Question asks what matters in deciding the respondent's VOTE, not what is most important facing the country. Different construct from the Ipsos Issues Index.</w:t>
      </w:r>
    </w:p>
    <w:p>
      <w:pPr>
        <w:pStyle w:val="Heading3"/>
      </w:pPr>
      <w:r>
        <w:t xml:space="preserve">Direction — wave A only, roughly ten months before the election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Derived scales:  </w:t>
      </w:r>
      <w:r>
        <w:rPr>
          <w:sz w:val="21"/>
          <w:szCs w:val="21"/>
        </w:rPr>
        <w:t xml:space="preserve">libautha (libertarian–authoritarian, range 1–9), lftrigha (left–right, 1–9), welfarea (welfare, 1–9). Also libautba / lftrigba as 1–5 variants. n = 3,119.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Component items:  </w:t>
      </w:r>
      <w:r>
        <w:rPr>
          <w:sz w:val="21"/>
          <w:szCs w:val="21"/>
        </w:rPr>
        <w:t xml:space="preserve">tradvala, censora, richlawa, indust4a, obeylawa — 5-point agree/disagree, self-completion.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LIMITATION:  </w:t>
      </w:r>
      <w:r>
        <w:rPr>
          <w:sz w:val="21"/>
          <w:szCs w:val="21"/>
        </w:rPr>
        <w:t xml:space="preserve">There are no campaign-wave versions of these. The directional data comes from a different survey, in a different mode, fielded ten months earlier. This is the cycle where the BES condition's advantage over salience-only data is weakest.</w:t>
      </w:r>
    </w:p>
    <w:p>
      <w:pPr>
        <w:pStyle w:val="Heading3"/>
      </w:pPr>
      <w:r>
        <w:t xml:space="preserve">Weights — documented rule from the user guide</w:t>
      </w:r>
    </w:p>
    <w:p>
      <w:pPr>
        <w:pBdr>
          <w:left w:val="single" w:color="1F3864" w:sz="10" w:space="6"/>
        </w:pBdr>
        <w:shd w:fill="F2F2F2" w:val="clear"/>
        <w:spacing w:after="0" w:before="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Waves in analysis        All respondents   Electors only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 only, A&amp;B, A&amp;C         WTALA             WTERA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A&amp;B&amp;D, A&amp;C&amp;D, A&amp;D        WTALAD            WTERAD</w:t>
      </w:r>
    </w:p>
    <w:p>
      <w:pPr>
        <w:pBdr>
          <w:left w:val="single" w:color="1F3864" w:sz="10" w:space="6"/>
        </w:pBdr>
        <w:shd w:fill="F2F2F2" w:val="clear"/>
        <w:spacing w:after="14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A&amp;B&amp;C&amp;D                  WTALABCD          WTERABCD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The natural combination (wave A direction + wave C salience) is an A&amp;C analysis, so WTERA is correct — electors-only, since the profile describes an electorate rather than all residents. The file is NOT preweighted; the guide states weighting is required in all analysis.</w:t>
      </w:r>
    </w:p>
    <w:p>
      <w:pPr>
        <w:pStyle w:val="Heading2"/>
      </w:pPr>
      <w:r>
        <w:t xml:space="preserve">2001 — SN 4620, British Election Panel Study, Waves 1–2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File:  </w:t>
      </w:r>
      <w:r>
        <w:rPr>
          <w:sz w:val="21"/>
          <w:szCs w:val="21"/>
        </w:rPr>
        <w:t xml:space="preserve">prepostagg.dta — 3,900 rows, 826 variables. Value labels ABSENT from the Stata conversion; code frames are in 4620userguide.pdf.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Prefix convention:  </w:t>
      </w:r>
      <w:r>
        <w:rPr>
          <w:sz w:val="21"/>
          <w:szCs w:val="21"/>
        </w:rPr>
        <w:t xml:space="preserve">a = pre-election (186 vars, 167 of them aq*), b = post-election (333), c = mailback (134). Use a* only.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Related studies:  </w:t>
      </w:r>
      <w:r>
        <w:rPr>
          <w:sz w:val="21"/>
          <w:szCs w:val="21"/>
        </w:rPr>
        <w:t xml:space="preserve">SN 4619 is the post-election cross-section extracted from this same file (POSTRESP=1) — wrong half for this design. SN 4621 is the Gallup campaign rolling cross-section — salience only, essentially no directional items, and its labels are also missing.</w:t>
      </w:r>
    </w:p>
    <w:p>
      <w:pPr>
        <w:pStyle w:val="Heading3"/>
      </w:pPr>
      <w:r>
        <w:t xml:space="preserve">Salience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Variable:  </w:t>
      </w:r>
      <w:r>
        <w:rPr>
          <w:sz w:val="21"/>
          <w:szCs w:val="21"/>
        </w:rPr>
        <w:t xml:space="preserve">aq2 — open-ended, coded to 14 categories.</w:t>
      </w:r>
    </w:p>
    <w:p>
      <w:pPr>
        <w:pBdr>
          <w:left w:val="single" w:color="1F3864" w:sz="10" w:space="6"/>
        </w:pBdr>
        <w:shd w:fill="F2F2F2" w:val="clear"/>
        <w:spacing w:after="0" w:before="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1 EMU membership          8 Public transport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2 EU relations            9 Taxation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3 Law and order          10 State of the economy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4 Educational standards  11 Unemployment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5 Environment            12 Standard of living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6 NHS                    13 Price of petrol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7 Inflation / prices     14 Other [write-in]</w:t>
      </w:r>
    </w:p>
    <w:p>
      <w:pPr>
        <w:pBdr>
          <w:left w:val="single" w:color="1F3864" w:sz="10" w:space="6"/>
        </w:pBdr>
        <w:shd w:fill="F2F2F2" w:val="clear"/>
        <w:spacing w:after="14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88 No important issues    98 DK      99 Refused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Caution:  </w:t>
      </w:r>
      <w:r>
        <w:rPr>
          <w:sz w:val="21"/>
          <w:szCs w:val="21"/>
        </w:rPr>
        <w:t xml:space="preserve">Code 14 (Other) takes 653 of the first mentions — over a fifth. A large residual that any harmonisation has to account for.</w:t>
      </w:r>
    </w:p>
    <w:p>
      <w:pPr>
        <w:pStyle w:val="Heading3"/>
      </w:pPr>
      <w:r>
        <w:t xml:space="preserve">Direction — pre-election wave, same respondents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aq25f:  </w:t>
      </w:r>
      <w:r>
        <w:rPr>
          <w:sz w:val="21"/>
          <w:szCs w:val="21"/>
        </w:rPr>
        <w:t xml:space="preserve">self left–right. “In politics, people sometimes talk of left and right. Using the scale from 0 to 10, where would you place yourself.” 0 = left, 10 = right. 98 DK, 99 refused.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aq26a:  </w:t>
      </w:r>
      <w:r>
        <w:rPr>
          <w:sz w:val="21"/>
          <w:szCs w:val="21"/>
        </w:rPr>
        <w:t xml:space="preserve">self taxes–spending. “0 means government should cut taxes a lot and spend much less on health and social services, and 10 means government should raise taxes a lot and spend much more.” Substantively directional — names a concrete trade-off rather than asking respondents to self-locate on a label.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aq23 / aq24:  </w:t>
      </w:r>
      <w:r>
        <w:rPr>
          <w:sz w:val="21"/>
          <w:szCs w:val="21"/>
        </w:rPr>
        <w:t xml:space="preserve">attitude to joining the euro; attitude to British EU membership.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Also present:  </w:t>
      </w:r>
      <w:r>
        <w:rPr>
          <w:sz w:val="21"/>
          <w:szCs w:val="21"/>
        </w:rPr>
        <w:t xml:space="preserve">aq25a–e and aq26b–f record where respondents place each PARTY on the same scales. Not used — a further benchmark would be off the critical path.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Questionnaire note:  </w:t>
      </w:r>
      <w:r>
        <w:rPr>
          <w:sz w:val="21"/>
          <w:szCs w:val="21"/>
        </w:rPr>
        <w:t xml:space="preserve">Self versus parties and party order were randomised, i.e. the BES was itself controlling for position effects.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Weight:  </w:t>
      </w:r>
      <w:r>
        <w:rPr>
          <w:sz w:val="21"/>
          <w:szCs w:val="21"/>
        </w:rPr>
        <w:t xml:space="preserve">awgtgb (region × gender × age within gender).</w:t>
      </w:r>
    </w:p>
    <w:p>
      <w:pPr>
        <w:pStyle w:val="Heading2"/>
      </w:pPr>
      <w:r>
        <w:t xml:space="preserve">2005 — SN 5496, Rolling Campaign Panel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Files:  </w:t>
      </w:r>
      <w:r>
        <w:rPr>
          <w:sz w:val="21"/>
          <w:szCs w:val="21"/>
        </w:rPr>
        <w:t xml:space="preserve">apr062.dta (7,793 rows, 785 vars, 492 label sets) and ygjuly1606is.dta (7,793 rows, 574 vars, 501 label sets). Value labels INTACT. Same row count — confirm from the user guide which is the pre-election collection.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Mode:  </w:t>
      </w:r>
      <w:r>
        <w:rPr>
          <w:sz w:val="21"/>
          <w:szCs w:val="21"/>
        </w:rPr>
        <w:t xml:space="preserve">Internet, YouGov. Note 2005 also has a face-to-face cross-section under SN 5494; which one is used affects the era comparison and should be chosen deliberately.</w:t>
      </w:r>
    </w:p>
    <w:p>
      <w:pPr>
        <w:pStyle w:val="Heading3"/>
      </w:pPr>
      <w:r>
        <w:t xml:space="preserve">Salience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Variable:  </w:t>
      </w:r>
      <w:r>
        <w:rPr>
          <w:sz w:val="21"/>
          <w:szCs w:val="21"/>
        </w:rPr>
        <w:t xml:space="preserve">premiszz — most important issue, pre-campaign survey. 26 categories.</w:t>
      </w:r>
    </w:p>
    <w:p>
      <w:pPr>
        <w:pBdr>
          <w:left w:val="single" w:color="1F3864" w:sz="10" w:space="6"/>
        </w:pBdr>
        <w:shd w:fill="F2F2F2" w:val="clear"/>
        <w:spacing w:after="0" w:before="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1 asylum seekers      10 taxation           19 pensions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2 euro membership     11 economy            20 social inequalities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3 relations with EU   13 poverty, living    21 services / spending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4 law &amp; order, crime  14 petrol prices      22 Bush, USA-negative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5 education           15 Iraq war           23 youth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6 environment         16 terrorism          24 housing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7 NHS                 18 immigration        25 drugs</w:t>
      </w:r>
    </w:p>
    <w:p>
      <w:pPr>
        <w:pBdr>
          <w:left w:val="single" w:color="1F3864" w:sz="10" w:space="6"/>
        </w:pBdr>
        <w:shd w:fill="F2F2F2" w:val="clear"/>
        <w:spacing w:after="14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8 house prices        9 transport           26 big gov, gov ineff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Note:  </w:t>
      </w:r>
      <w:r>
        <w:rPr>
          <w:sz w:val="21"/>
          <w:szCs w:val="21"/>
        </w:rPr>
        <w:t xml:space="preserve">Includes categories that did not exist in earlier frames (Iraq, terrorism, asylum). Frame breadth grows across cycles, which is a substantive obstacle to harmonisation, not just a coding inconvenience.</w:t>
      </w:r>
    </w:p>
    <w:p>
      <w:pPr>
        <w:pStyle w:val="Heading3"/>
      </w:pPr>
      <w:r>
        <w:t xml:space="preserve">Direction — endpoints labelled in the file</w:t>
      </w:r>
    </w:p>
    <w:p>
      <w:pPr>
        <w:pBdr>
          <w:left w:val="single" w:color="1F3864" w:sz="10" w:space="6"/>
        </w:pBdr>
        <w:shd w:fill="F2F2F2" w:val="clear"/>
        <w:spacing w:after="0" w:before="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pre_q118  taxes-services   0 cut taxes        → 10 spend more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pre_q124  crime-rights     0 reduce crime     → 10 rights of accused</w:t>
      </w:r>
    </w:p>
    <w:p>
      <w:pPr>
        <w:pBdr>
          <w:left w:val="single" w:color="1F3864" w:sz="10" w:space="6"/>
        </w:pBdr>
        <w:shd w:fill="F2F2F2" w:val="clear"/>
        <w:spacing w:after="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pre_q101  EU in-out        0 definitely out   → 10 definitely stay in</w:t>
      </w:r>
    </w:p>
    <w:p>
      <w:pPr>
        <w:pBdr>
          <w:left w:val="single" w:color="1F3864" w:sz="10" w:space="6"/>
        </w:pBdr>
        <w:shd w:fill="F2F2F2" w:val="clear"/>
        <w:spacing w:after="140" w:before="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12 = don't know on all three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Note:  </w:t>
      </w:r>
      <w:r>
        <w:rPr>
          <w:sz w:val="21"/>
          <w:szCs w:val="21"/>
        </w:rPr>
        <w:t xml:space="preserve">pre_q124 is a genuine libertarian–authoritarian measure, in a form no earlier cycle supplies.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Weights:  </w:t>
      </w:r>
      <w:r>
        <w:rPr>
          <w:sz w:val="21"/>
          <w:szCs w:val="21"/>
        </w:rPr>
        <w:t xml:space="preserve">pre_w8 (standard YouGov pre-campaign) and pre_w8no (non-political), plus dozens of rolling date-window weights (w8_1104 = April 6–11, etc.) because fieldwork was daily. Deferred — see §4.</w:t>
      </w:r>
    </w:p>
    <w:p>
      <w:r>
        <w:br w:type="page"/>
      </w:r>
    </w:p>
    <w:p>
      <w:pPr>
        <w:pStyle w:val="Heading1"/>
      </w:pPr>
      <w:r>
        <w:t xml:space="preserve">3. Why this matters: the era problem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BES condition is not one instrument. Across the eight cycles it changes on at least four dimensions simultaneously: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MODE. Face-to-face probability sampling (1997–2001, n ≈ 2,000–4,000) → hybrid online/face-to-face (2005–2010, n ≈ 10,000+) → pure non-probability internet panel with heavy demographic weighting (2014–2024, n ≈ 30,000–90,000).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QUESTION FORMAT. 1997 asks which issue matters most in deciding the vote, coded to 39 categories. 2001 asks the single most important issue in the election, open-ended, coded to 14. 2005 uses a 26-category frame. Ipsos asks, separately, what is the most important issue facing the country. These are different constructs, not different wordings of one construct.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FRAME BREADTH. Categories that did not exist earlier (Iraq, terrorism, asylum) appear later, so the denominator against which any single issue's share is computed is itself moving.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TEMPORAL RELATIONSHIP TO THE ELECTION. 1997's directional data precedes the election by ten months; 2001's by days. Same nominal condition, very different measurement.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Documented mode effects run in opposite directions across the eras — social desirability compressing responses toward the centre under interviewer administration, satisficing and reduced social barriers inflating extreme responses online — so the bias is not even constant in sign.</w:t>
      </w:r>
    </w:p>
    <w:p>
      <w:pPr>
        <w:pStyle w:val="Heading3"/>
      </w:pPr>
      <w:r>
        <w:t xml:space="preserve">Registered response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Run the experiment on unaltered data. Report BES-condition results stratified by the three methodological eras (1997–2001, 2005–2010, 2014–2024) as well as pooled. If a gap between eras appears, do NOT fit a correction: a bias observed in the outcome measures cannot identify its own cause, and a function fitted to make eras agree would be adjusting results until they show the consistency the success criteria ask for.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Instead, bound it. Ask how large a mode effect would have to be to account for the observed gap, and whether that magnitude is plausible against the survey-methodology literature. If the answer is “larger than anything documented”, mode effects are not the explanation.</w:t>
      </w: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Confounds to name:  </w:t>
      </w:r>
      <w:r>
        <w:rPr>
          <w:sz w:val="21"/>
          <w:szCs w:val="21"/>
        </w:rPr>
        <w:t xml:space="preserve">an era-correlated gap could equally reflect PDF extraction quality (the scanned 1997–2005 manifestos), CHES classification staleness, LLM training-data density for older documents, or genuine differences in how manifesto-aligned those elections were. The bounding argument is about whether mode effects COULD account for the gap, not a claim that they are the only candidate.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One consolation: the Ipsos Issues Index has been methodologically stable across the whole period. The instrument that cannot recover direction is at least measuring the same way in 1997 and 2024.</w:t>
      </w:r>
    </w:p>
    <w:p>
      <w:pPr>
        <w:pStyle w:val="Heading1"/>
      </w:pPr>
      <w:r>
        <w:t xml:space="preserve">4. Outstanding decisions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registerable before any confirmatory run.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1997 mention count: first mentions only (closer to the Ipsos framing) or first plus second (uses more data). Combining pulls law and order from 3.4% to 4.5% and slightly compresses the health/education dominance.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1997 direction: accept wave A attitudes at ten months' distance and register the gap, or run 1997 salience-only and lose the BES condition's distinctive contribution for that cycle.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2005 file choice: internet rolling panel (SN 5496, held) or face-to-face cross-section (SN 5494). Affects which era 2005 belongs 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2010: which instrument, given it sits on the era boundary.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Weights: deferred by decision. Each cycle offers several; 1997's rule is documented above, 2005 has both standard and rolling date-window options.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Harmonisation: whether to map the 39 / 14 / 26-category frames onto a common scheme, or report each cycle in its own terms and compare only within-cycle rankings. The frames differ enough that a crosswalk would itself be a registerable methodological artefact.</w:t>
      </w:r>
    </w:p>
    <w:p>
      <w:pPr>
        <w:pStyle w:val="Heading1"/>
      </w:pPr>
      <w:r>
        <w:t xml:space="preserve">5. Still to obtain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2010 — face-to-face survey and/or campaign internet panel. Era-boundary cycle.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2015, 2017, 2019, 2024 — BES Combined Internet Panel, SN 8202. One instrument covering four cycles; the highest-value single download remaining.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Optional: 1997 face-to-face cross-section, if standardising the early era on cross-sections rather than mixing campaign panels and cross-sections. Worth checking whether it carries the same libauth / lftrig scales.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Note on formats: prefer SPSS .sav where offered. The 2001 Stata conversions lost every value label, while 1997 and 2005 retained theirs — the loss is specific to those conversions rather than systematic, but .sav is the safer default. pyreadstat reads both identically (read_sav / read_dta, same metadata interface), so nothing in the code depends on the choice.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20"/>
    </w:pPr>
    <w:rPr>
      <w:rFonts w:ascii="Calibri" w:cs="Calibri" w:eastAsia="Calibri" w:hAnsi="Calibri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2026-08-24T15:38:23.772Z</dcterms:created>
  <dcterms:modified xsi:type="dcterms:W3CDTF">2026-08-24T15:38:23.786Z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