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1"/>
        <w:keepNext w:val="0"/>
        <w:keepLines w:val="0"/>
        <w:spacing w:before="480"/>
        <w:ind w:left="0" w:firstLine="0"/>
        <w:jc w:val="both"/>
        <w:rPr>
          <w:rFonts w:ascii="Times New Roman" w:hAnsi="Times New Roman" w:eastAsia="Times New Roman" w:cs="Times New Roman"/>
          <w:sz w:val="36"/>
          <w:szCs w:val="36"/>
        </w:rPr>
      </w:pPr>
      <w:bookmarkStart w:id="0" w:name="_v2tj6vw7hqpt" w:colFirst="0" w:colLast="0"/>
      <w:bookmarkEnd w:id="0"/>
      <w:r>
        <w:rPr>
          <w:rFonts w:ascii="Times New Roman" w:hAnsi="Times New Roman" w:eastAsia="Times New Roman" w:cs="Times New Roman"/>
          <w:sz w:val="36"/>
          <w:szCs w:val="36"/>
          <w:rtl w:val="0"/>
        </w:rPr>
        <w:t>Analysis of the Impact of Air Pollutants on Urban Air Quality: A Case Study in Medium-Sized Cities</w:t>
      </w:r>
    </w:p>
    <w:p w14:paraId="00000002">
      <w:pPr>
        <w:pStyle w:val="2"/>
        <w:keepNext w:val="0"/>
        <w:keepLines w:val="0"/>
        <w:spacing w:after="80"/>
        <w:ind w:left="720" w:firstLine="0"/>
        <w:jc w:val="both"/>
        <w:rPr>
          <w:rFonts w:ascii="Times New Roman" w:hAnsi="Times New Roman" w:eastAsia="Times New Roman" w:cs="Times New Roman"/>
          <w:b/>
          <w:sz w:val="28"/>
          <w:szCs w:val="28"/>
        </w:rPr>
      </w:pPr>
      <w:bookmarkStart w:id="1" w:name="_gm9cys7vp23g" w:colFirst="0" w:colLast="0"/>
      <w:bookmarkEnd w:id="1"/>
      <w:r>
        <w:rPr>
          <w:rFonts w:ascii="Times New Roman" w:hAnsi="Times New Roman" w:eastAsia="Times New Roman" w:cs="Times New Roman"/>
          <w:b/>
          <w:sz w:val="28"/>
          <w:szCs w:val="28"/>
          <w:rtl w:val="0"/>
        </w:rPr>
        <w:t>Abstract</w:t>
      </w:r>
    </w:p>
    <w:p w14:paraId="00000003">
      <w:pPr>
        <w:spacing w:before="240" w:after="2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This study investigates the effects of air pollutants on air quality in medium-sized cities, using data collected over 12 months in three municipalities in southeastern Brazil. The concentrations of particulate matter (PM10 and PM2.5), sulfur dioxide (SO₂), nitrogen dioxide (NO₂), and tropospheric ozone (O₃) were analyzed. From this data, seasonal patterns, predominant emission sources, and correlations with meteorological variables were identified. The results indicate that urban transportation and industrial activities are the main contributors to air pollution, with winter months being the most critical for air quality.</w:t>
      </w:r>
    </w:p>
    <w:p w14:paraId="00000004">
      <w:pPr>
        <w:spacing w:before="240" w:after="24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Keywords:</w:t>
      </w:r>
      <w:r>
        <w:rPr>
          <w:rFonts w:ascii="Times New Roman" w:hAnsi="Times New Roman" w:eastAsia="Times New Roman" w:cs="Times New Roman"/>
          <w:sz w:val="24"/>
          <w:szCs w:val="24"/>
          <w:rtl w:val="0"/>
        </w:rPr>
        <w:t xml:space="preserve"> air pollution, particulate matter, nitrogen dioxide, medium-sized cities, air quality.</w:t>
      </w:r>
    </w:p>
    <w:p w14:paraId="00000005">
      <w:pPr>
        <w:spacing w:before="240" w:after="240"/>
        <w:ind w:left="720" w:firstLine="0"/>
        <w:jc w:val="both"/>
        <w:rPr>
          <w:rFonts w:ascii="Times New Roman" w:hAnsi="Times New Roman" w:eastAsia="Times New Roman" w:cs="Times New Roman"/>
          <w:sz w:val="24"/>
          <w:szCs w:val="24"/>
        </w:rPr>
      </w:pPr>
    </w:p>
    <w:p w14:paraId="00000006">
      <w:pPr>
        <w:pStyle w:val="2"/>
        <w:keepNext w:val="0"/>
        <w:keepLines w:val="0"/>
        <w:spacing w:after="80"/>
        <w:ind w:left="720" w:firstLine="0"/>
        <w:jc w:val="both"/>
        <w:rPr>
          <w:rFonts w:ascii="Times New Roman" w:hAnsi="Times New Roman" w:eastAsia="Times New Roman" w:cs="Times New Roman"/>
          <w:b/>
          <w:sz w:val="32"/>
          <w:szCs w:val="32"/>
        </w:rPr>
      </w:pPr>
      <w:bookmarkStart w:id="2" w:name="_91mhlhcag6sa" w:colFirst="0" w:colLast="0"/>
      <w:bookmarkEnd w:id="2"/>
      <w:r>
        <w:rPr>
          <w:rFonts w:ascii="Times New Roman" w:hAnsi="Times New Roman" w:eastAsia="Times New Roman" w:cs="Times New Roman"/>
          <w:b/>
          <w:sz w:val="32"/>
          <w:szCs w:val="32"/>
          <w:rtl w:val="0"/>
        </w:rPr>
        <w:t>Main</w:t>
      </w:r>
    </w:p>
    <w:p w14:paraId="00000007">
      <w:pPr>
        <w:pStyle w:val="3"/>
        <w:keepNext w:val="0"/>
        <w:keepLines w:val="0"/>
        <w:spacing w:before="280"/>
        <w:jc w:val="both"/>
        <w:rPr>
          <w:rFonts w:ascii="Times New Roman" w:hAnsi="Times New Roman" w:eastAsia="Times New Roman" w:cs="Times New Roman"/>
          <w:sz w:val="28"/>
          <w:szCs w:val="28"/>
        </w:rPr>
      </w:pPr>
      <w:bookmarkStart w:id="3" w:name="_2lyj695mv9zl" w:colFirst="0" w:colLast="0"/>
      <w:bookmarkEnd w:id="3"/>
      <w:r>
        <w:rPr>
          <w:rFonts w:ascii="Times New Roman" w:hAnsi="Times New Roman" w:eastAsia="Times New Roman" w:cs="Times New Roman"/>
          <w:sz w:val="28"/>
          <w:szCs w:val="28"/>
          <w:rtl w:val="0"/>
        </w:rPr>
        <w:t>1.1 Urbanization and Air Pollution</w:t>
      </w:r>
    </w:p>
    <w:p w14:paraId="00000008">
      <w:pPr>
        <w:spacing w:before="240" w:after="2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Urbanization leads to increased emissions of air pollutants due to higher energy consumption, vehicular traffic, and industrial activity. While megacities receive considerable attention in environmental studies, medium-sized cities often lack adequate monitoring and mitigation strategies. As their populations grow, so do the environmental and health risks associated with air pollution [1].</w:t>
      </w:r>
    </w:p>
    <w:p w14:paraId="00000009">
      <w:pPr>
        <w:pStyle w:val="3"/>
        <w:keepNext w:val="0"/>
        <w:keepLines w:val="0"/>
        <w:spacing w:before="280"/>
        <w:jc w:val="both"/>
        <w:rPr>
          <w:rFonts w:ascii="Times New Roman" w:hAnsi="Times New Roman" w:eastAsia="Times New Roman" w:cs="Times New Roman"/>
          <w:sz w:val="28"/>
          <w:szCs w:val="28"/>
        </w:rPr>
      </w:pPr>
      <w:bookmarkStart w:id="4" w:name="_iptvzaccnt9" w:colFirst="0" w:colLast="0"/>
      <w:bookmarkEnd w:id="4"/>
      <w:r>
        <w:rPr>
          <w:rFonts w:ascii="Times New Roman" w:hAnsi="Times New Roman" w:eastAsia="Times New Roman" w:cs="Times New Roman"/>
          <w:sz w:val="28"/>
          <w:szCs w:val="28"/>
          <w:rtl w:val="0"/>
        </w:rPr>
        <w:t>1.2 Key Pollutants of Concern</w:t>
      </w:r>
    </w:p>
    <w:p w14:paraId="0000000A">
      <w:pPr>
        <w:spacing w:before="240" w:after="2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This study focuses on five major pollutants:</w:t>
      </w:r>
    </w:p>
    <w:p w14:paraId="0000000B">
      <w:pPr>
        <w:numPr>
          <w:ilvl w:val="0"/>
          <w:numId w:val="1"/>
        </w:numPr>
        <w:spacing w:before="24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PM10 and PM2.5</w:t>
      </w:r>
      <w:r>
        <w:rPr>
          <w:rFonts w:ascii="Times New Roman" w:hAnsi="Times New Roman" w:eastAsia="Times New Roman" w:cs="Times New Roman"/>
          <w:sz w:val="24"/>
          <w:szCs w:val="24"/>
          <w:rtl w:val="0"/>
        </w:rPr>
        <w:t>: These fine particles can penetrate deeply into the lungs and bloodstream [2].</w:t>
      </w:r>
      <w:r>
        <w:rPr>
          <w:rFonts w:ascii="Times New Roman" w:hAnsi="Times New Roman" w:eastAsia="Times New Roman" w:cs="Times New Roman"/>
          <w:sz w:val="24"/>
          <w:szCs w:val="24"/>
          <w:rtl w:val="0"/>
        </w:rPr>
        <w:br w:type="textWrapping"/>
      </w:r>
    </w:p>
    <w:p w14:paraId="0000000C">
      <w:pPr>
        <w:numPr>
          <w:ilvl w:val="0"/>
          <w:numId w:val="1"/>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NO₂ and SO₂</w:t>
      </w:r>
      <w:r>
        <w:rPr>
          <w:rFonts w:ascii="Times New Roman" w:hAnsi="Times New Roman" w:eastAsia="Times New Roman" w:cs="Times New Roman"/>
          <w:sz w:val="24"/>
          <w:szCs w:val="24"/>
          <w:rtl w:val="0"/>
        </w:rPr>
        <w:t>: Byproducts of combustion processes, especially from vehicles and industrial sources [3].</w:t>
      </w:r>
      <w:r>
        <w:rPr>
          <w:rFonts w:ascii="Times New Roman" w:hAnsi="Times New Roman" w:eastAsia="Times New Roman" w:cs="Times New Roman"/>
          <w:sz w:val="24"/>
          <w:szCs w:val="24"/>
          <w:rtl w:val="0"/>
        </w:rPr>
        <w:br w:type="textWrapping"/>
      </w:r>
    </w:p>
    <w:p w14:paraId="0000000D">
      <w:pPr>
        <w:numPr>
          <w:ilvl w:val="0"/>
          <w:numId w:val="1"/>
        </w:numPr>
        <w:spacing w:before="0" w:beforeAutospacing="0" w:after="240"/>
        <w:ind w:left="720" w:hanging="36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O₃ (Tropospheric ozone)</w:t>
      </w:r>
      <w:r>
        <w:rPr>
          <w:rFonts w:ascii="Times New Roman" w:hAnsi="Times New Roman" w:eastAsia="Times New Roman" w:cs="Times New Roman"/>
          <w:sz w:val="24"/>
          <w:szCs w:val="24"/>
          <w:rtl w:val="0"/>
        </w:rPr>
        <w:t>: A secondary pollutant formed through chemical reactions involving sunlight and nitrogen oxides.</w:t>
      </w:r>
      <w:r>
        <w:rPr>
          <w:rFonts w:ascii="Times New Roman" w:hAnsi="Times New Roman" w:eastAsia="Times New Roman" w:cs="Times New Roman"/>
          <w:sz w:val="24"/>
          <w:szCs w:val="24"/>
          <w:rtl w:val="0"/>
        </w:rPr>
        <w:br w:type="textWrapping"/>
      </w:r>
    </w:p>
    <w:p w14:paraId="0000000E">
      <w:pPr>
        <w:pStyle w:val="3"/>
        <w:keepNext w:val="0"/>
        <w:keepLines w:val="0"/>
        <w:spacing w:before="280"/>
        <w:jc w:val="both"/>
        <w:rPr>
          <w:rFonts w:ascii="Times New Roman" w:hAnsi="Times New Roman" w:eastAsia="Times New Roman" w:cs="Times New Roman"/>
          <w:sz w:val="28"/>
          <w:szCs w:val="28"/>
        </w:rPr>
      </w:pPr>
      <w:bookmarkStart w:id="5" w:name="_is5l0zao8i7b" w:colFirst="0" w:colLast="0"/>
      <w:bookmarkEnd w:id="5"/>
      <w:r>
        <w:rPr>
          <w:rFonts w:ascii="Times New Roman" w:hAnsi="Times New Roman" w:eastAsia="Times New Roman" w:cs="Times New Roman"/>
          <w:sz w:val="28"/>
          <w:szCs w:val="28"/>
          <w:rtl w:val="0"/>
        </w:rPr>
        <w:t>1.3 Emission Sources and Urban Dynamics</w:t>
      </w:r>
    </w:p>
    <w:p w14:paraId="0000000F">
      <w:pPr>
        <w:spacing w:before="240" w:after="2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Field observations and historical records confirm that vehicular emissions, industrial discharges, and biomass burning are the dominant sources of pollution in the studied cities [2]. Differences in economic activities (e.g., heavy industry vs. service sector) influence pollutant profiles, as does the urban layout and availability of green areas.</w:t>
      </w:r>
    </w:p>
    <w:p w14:paraId="00000010">
      <w:pPr>
        <w:spacing w:before="240" w:after="240"/>
        <w:jc w:val="both"/>
        <w:rPr>
          <w:rFonts w:ascii="Times New Roman" w:hAnsi="Times New Roman" w:eastAsia="Times New Roman" w:cs="Times New Roman"/>
          <w:sz w:val="24"/>
          <w:szCs w:val="24"/>
        </w:rPr>
      </w:pPr>
    </w:p>
    <w:p w14:paraId="00000011">
      <w:pPr>
        <w:spacing w:before="240" w:after="240"/>
        <w:ind w:left="720" w:firstLine="0"/>
        <w:jc w:val="both"/>
        <w:rPr>
          <w:rFonts w:ascii="Times New Roman" w:hAnsi="Times New Roman" w:eastAsia="Times New Roman" w:cs="Times New Roman"/>
          <w:sz w:val="24"/>
          <w:szCs w:val="24"/>
        </w:rPr>
      </w:pPr>
    </w:p>
    <w:p w14:paraId="00000012">
      <w:pPr>
        <w:pStyle w:val="3"/>
        <w:keepNext w:val="0"/>
        <w:keepLines w:val="0"/>
        <w:spacing w:after="80"/>
        <w:ind w:left="720" w:firstLine="0"/>
        <w:jc w:val="both"/>
        <w:rPr>
          <w:rFonts w:ascii="Times New Roman" w:hAnsi="Times New Roman" w:eastAsia="Times New Roman" w:cs="Times New Roman"/>
          <w:b/>
          <w:sz w:val="34"/>
          <w:szCs w:val="34"/>
        </w:rPr>
      </w:pPr>
      <w:bookmarkStart w:id="6" w:name="_tez592tnut67" w:colFirst="0" w:colLast="0"/>
      <w:bookmarkEnd w:id="6"/>
      <w:r>
        <w:rPr>
          <w:rFonts w:ascii="Times New Roman" w:hAnsi="Times New Roman" w:eastAsia="Times New Roman" w:cs="Times New Roman"/>
          <w:b/>
          <w:sz w:val="34"/>
          <w:szCs w:val="34"/>
          <w:rtl w:val="0"/>
        </w:rPr>
        <w:t>Figure 1: Annual Concentration of Major Pollutants in City A</w:t>
      </w:r>
    </w:p>
    <w:p w14:paraId="00000013"/>
    <w:p w14:paraId="00000014"/>
    <w:p w14:paraId="0000001E">
      <w:pPr>
        <w:spacing w:before="240" w:after="240"/>
        <w:ind w:left="720" w:firstLine="0"/>
        <w:jc w:val="both"/>
        <w:rPr>
          <w:rFonts w:ascii="Times New Roman" w:hAnsi="Times New Roman" w:eastAsia="Times New Roman" w:cs="Times New Roman"/>
          <w:sz w:val="24"/>
          <w:szCs w:val="24"/>
        </w:rPr>
      </w:pPr>
      <w:r>
        <w:rPr>
          <w:rFonts w:ascii="SimSun" w:hAnsi="SimSun" w:eastAsia="SimSun" w:cs="SimSun"/>
          <w:sz w:val="24"/>
          <w:szCs w:val="24"/>
        </w:rPr>
        <w:drawing>
          <wp:inline distT="0" distB="0" distL="114300" distR="114300">
            <wp:extent cx="5725795" cy="3344545"/>
            <wp:effectExtent l="0" t="0" r="8255" b="8255"/>
            <wp:docPr id="1"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descr="IMG_256"/>
                    <pic:cNvPicPr>
                      <a:picLocks noChangeAspect="1"/>
                    </pic:cNvPicPr>
                  </pic:nvPicPr>
                  <pic:blipFill>
                    <a:blip r:embed="rId6"/>
                    <a:stretch>
                      <a:fillRect/>
                    </a:stretch>
                  </pic:blipFill>
                  <pic:spPr>
                    <a:xfrm>
                      <a:off x="0" y="0"/>
                      <a:ext cx="5725795" cy="3344545"/>
                    </a:xfrm>
                    <a:prstGeom prst="rect">
                      <a:avLst/>
                    </a:prstGeom>
                    <a:noFill/>
                    <a:ln w="9525">
                      <a:noFill/>
                    </a:ln>
                  </pic:spPr>
                </pic:pic>
              </a:graphicData>
            </a:graphic>
          </wp:inline>
        </w:drawing>
      </w:r>
    </w:p>
    <w:p w14:paraId="0000001F">
      <w:pPr>
        <w:spacing w:before="240" w:after="24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Figure 1</w:t>
      </w:r>
      <w:r>
        <w:rPr>
          <w:rFonts w:ascii="Times New Roman" w:hAnsi="Times New Roman" w:eastAsia="Times New Roman" w:cs="Times New Roman"/>
          <w:sz w:val="24"/>
          <w:szCs w:val="24"/>
          <w:rtl w:val="0"/>
        </w:rPr>
        <w:t xml:space="preserve"> – Monthly and average annual concentration (μg/m³) of key pollutants in City A over the year 2024.</w:t>
      </w:r>
    </w:p>
    <w:p w14:paraId="00000020">
      <w:pPr>
        <w:spacing w:before="240" w:after="240"/>
        <w:ind w:left="720" w:firstLine="0"/>
        <w:jc w:val="both"/>
        <w:rPr>
          <w:rFonts w:ascii="Times New Roman" w:hAnsi="Times New Roman" w:eastAsia="Times New Roman" w:cs="Times New Roman"/>
          <w:sz w:val="24"/>
          <w:szCs w:val="24"/>
        </w:rPr>
      </w:pPr>
    </w:p>
    <w:p w14:paraId="00000021">
      <w:pPr>
        <w:pStyle w:val="2"/>
        <w:keepNext w:val="0"/>
        <w:keepLines w:val="0"/>
        <w:spacing w:after="80"/>
        <w:ind w:left="720" w:firstLine="0"/>
        <w:jc w:val="both"/>
        <w:rPr>
          <w:rFonts w:ascii="Times New Roman" w:hAnsi="Times New Roman" w:eastAsia="Times New Roman" w:cs="Times New Roman"/>
          <w:b/>
          <w:sz w:val="32"/>
          <w:szCs w:val="32"/>
        </w:rPr>
      </w:pPr>
      <w:bookmarkStart w:id="7" w:name="_h4j0tdsocyza" w:colFirst="0" w:colLast="0"/>
      <w:bookmarkEnd w:id="7"/>
      <w:r>
        <w:rPr>
          <w:rFonts w:ascii="Times New Roman" w:hAnsi="Times New Roman" w:eastAsia="Times New Roman" w:cs="Times New Roman"/>
          <w:b/>
          <w:sz w:val="32"/>
          <w:szCs w:val="32"/>
          <w:rtl w:val="0"/>
        </w:rPr>
        <w:t>Discussion/Conclusions</w:t>
      </w:r>
    </w:p>
    <w:p w14:paraId="00000022">
      <w:pPr>
        <w:pStyle w:val="3"/>
        <w:keepNext w:val="0"/>
        <w:keepLines w:val="0"/>
        <w:spacing w:before="280"/>
        <w:jc w:val="both"/>
        <w:rPr>
          <w:rFonts w:ascii="Times New Roman" w:hAnsi="Times New Roman" w:eastAsia="Times New Roman" w:cs="Times New Roman"/>
          <w:sz w:val="28"/>
          <w:szCs w:val="28"/>
        </w:rPr>
      </w:pPr>
      <w:bookmarkStart w:id="8" w:name="_ykr63zuawc80" w:colFirst="0" w:colLast="0"/>
      <w:bookmarkEnd w:id="8"/>
      <w:r>
        <w:rPr>
          <w:rFonts w:ascii="Times New Roman" w:hAnsi="Times New Roman" w:eastAsia="Times New Roman" w:cs="Times New Roman"/>
          <w:sz w:val="28"/>
          <w:szCs w:val="28"/>
          <w:rtl w:val="0"/>
        </w:rPr>
        <w:t>2.1 Seasonal Trends and Health Implications</w:t>
      </w:r>
    </w:p>
    <w:p w14:paraId="00000023">
      <w:pPr>
        <w:spacing w:before="240" w:after="2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Pollutant levels were highest during the winter, when atmospheric conditions trap pollutants near the ground (a phenomenon known as thermal inversion) [4]. This leads to a spike in respiratory illnesses and hospitalizations, particularly among vulnerable populations such as children and the elderly.</w:t>
      </w:r>
    </w:p>
    <w:p w14:paraId="00000024">
      <w:pPr>
        <w:pStyle w:val="3"/>
        <w:keepNext w:val="0"/>
        <w:keepLines w:val="0"/>
        <w:spacing w:before="280"/>
        <w:jc w:val="both"/>
        <w:rPr>
          <w:rFonts w:ascii="Times New Roman" w:hAnsi="Times New Roman" w:eastAsia="Times New Roman" w:cs="Times New Roman"/>
          <w:sz w:val="28"/>
          <w:szCs w:val="28"/>
        </w:rPr>
      </w:pPr>
      <w:bookmarkStart w:id="9" w:name="_ykl5j4akcv7a" w:colFirst="0" w:colLast="0"/>
      <w:bookmarkEnd w:id="9"/>
      <w:r>
        <w:rPr>
          <w:rFonts w:ascii="Times New Roman" w:hAnsi="Times New Roman" w:eastAsia="Times New Roman" w:cs="Times New Roman"/>
          <w:sz w:val="28"/>
          <w:szCs w:val="28"/>
          <w:rtl w:val="0"/>
        </w:rPr>
        <w:t>2.2 Socioeconomic Impacts</w:t>
      </w:r>
    </w:p>
    <w:p w14:paraId="00000025">
      <w:pPr>
        <w:spacing w:before="240" w:after="2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Increased pollution correlates with decreased labor productivity, school absences, and higher public health costs [5]. Urban residents exposed to high levels of NO₂ and PM2.5 show increased cases of asthma, bronchitis, and cardiovascular disease [3].</w:t>
      </w:r>
    </w:p>
    <w:p w14:paraId="00000026">
      <w:pPr>
        <w:pStyle w:val="3"/>
        <w:keepNext w:val="0"/>
        <w:keepLines w:val="0"/>
        <w:spacing w:before="280"/>
        <w:jc w:val="both"/>
        <w:rPr>
          <w:rFonts w:ascii="Times New Roman" w:hAnsi="Times New Roman" w:eastAsia="Times New Roman" w:cs="Times New Roman"/>
          <w:sz w:val="28"/>
          <w:szCs w:val="28"/>
        </w:rPr>
      </w:pPr>
      <w:bookmarkStart w:id="10" w:name="_y3i40qib1gh0" w:colFirst="0" w:colLast="0"/>
      <w:bookmarkEnd w:id="10"/>
      <w:r>
        <w:rPr>
          <w:rFonts w:ascii="Times New Roman" w:hAnsi="Times New Roman" w:eastAsia="Times New Roman" w:cs="Times New Roman"/>
          <w:sz w:val="28"/>
          <w:szCs w:val="28"/>
          <w:rtl w:val="0"/>
        </w:rPr>
        <w:t>2.3 Need for Public Policy</w:t>
      </w:r>
    </w:p>
    <w:p w14:paraId="00000027">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results highlight the urgent need for integrated environmental policies. Suggested actions include:</w:t>
      </w:r>
    </w:p>
    <w:p w14:paraId="00000028">
      <w:pPr>
        <w:numPr>
          <w:ilvl w:val="0"/>
          <w:numId w:val="2"/>
        </w:numPr>
        <w:spacing w:before="24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Expansion of green spaces and urban forests</w:t>
      </w:r>
      <w:r>
        <w:rPr>
          <w:rFonts w:ascii="Times New Roman" w:hAnsi="Times New Roman" w:eastAsia="Times New Roman" w:cs="Times New Roman"/>
          <w:sz w:val="24"/>
          <w:szCs w:val="24"/>
          <w:rtl w:val="0"/>
        </w:rPr>
        <w:br w:type="textWrapping"/>
      </w:r>
    </w:p>
    <w:p w14:paraId="00000029">
      <w:pPr>
        <w:numPr>
          <w:ilvl w:val="0"/>
          <w:numId w:val="2"/>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Electrification of public transport</w:t>
      </w:r>
      <w:r>
        <w:rPr>
          <w:rFonts w:ascii="Times New Roman" w:hAnsi="Times New Roman" w:eastAsia="Times New Roman" w:cs="Times New Roman"/>
          <w:sz w:val="24"/>
          <w:szCs w:val="24"/>
          <w:rtl w:val="0"/>
        </w:rPr>
        <w:br w:type="textWrapping"/>
      </w:r>
    </w:p>
    <w:p w14:paraId="0000002A">
      <w:pPr>
        <w:numPr>
          <w:ilvl w:val="0"/>
          <w:numId w:val="2"/>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Implementation of emissions-based vehicle taxes</w:t>
      </w:r>
      <w:r>
        <w:rPr>
          <w:rFonts w:ascii="Times New Roman" w:hAnsi="Times New Roman" w:eastAsia="Times New Roman" w:cs="Times New Roman"/>
          <w:sz w:val="24"/>
          <w:szCs w:val="24"/>
          <w:rtl w:val="0"/>
        </w:rPr>
        <w:br w:type="textWrapping"/>
      </w:r>
    </w:p>
    <w:p w14:paraId="0000002B">
      <w:pPr>
        <w:numPr>
          <w:ilvl w:val="0"/>
          <w:numId w:val="2"/>
        </w:numPr>
        <w:spacing w:before="0" w:beforeAutospacing="0" w:after="24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Periodic emission testing for industries [1][2]</w:t>
      </w:r>
    </w:p>
    <w:p w14:paraId="0000002C">
      <w:pPr>
        <w:spacing w:before="240" w:after="2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t>
      </w:r>
    </w:p>
    <w:p w14:paraId="0000002D">
      <w:pPr>
        <w:spacing w:before="240" w:after="240"/>
        <w:ind w:left="720" w:firstLine="0"/>
        <w:jc w:val="both"/>
        <w:rPr>
          <w:rFonts w:ascii="Times New Roman" w:hAnsi="Times New Roman" w:eastAsia="Times New Roman" w:cs="Times New Roman"/>
          <w:sz w:val="24"/>
          <w:szCs w:val="24"/>
        </w:rPr>
      </w:pPr>
    </w:p>
    <w:p w14:paraId="0000002E">
      <w:pPr>
        <w:pStyle w:val="3"/>
        <w:keepNext w:val="0"/>
        <w:keepLines w:val="0"/>
        <w:spacing w:after="80"/>
        <w:ind w:left="720" w:firstLine="0"/>
        <w:jc w:val="both"/>
        <w:rPr>
          <w:rFonts w:ascii="Times New Roman" w:hAnsi="Times New Roman" w:eastAsia="Times New Roman" w:cs="Times New Roman"/>
          <w:b/>
          <w:sz w:val="34"/>
          <w:szCs w:val="34"/>
        </w:rPr>
      </w:pPr>
      <w:bookmarkStart w:id="11" w:name="_hvyhm6mnqnq2" w:colFirst="0" w:colLast="0"/>
      <w:bookmarkEnd w:id="11"/>
      <w:r>
        <w:rPr>
          <w:rFonts w:ascii="Times New Roman" w:hAnsi="Times New Roman" w:eastAsia="Times New Roman" w:cs="Times New Roman"/>
          <w:b/>
          <w:sz w:val="34"/>
          <w:szCs w:val="34"/>
          <w:rtl w:val="0"/>
        </w:rPr>
        <w:t>Table 1: Seasonal Variation in Pollutant Levels (μg/m³)</w:t>
      </w:r>
    </w:p>
    <w:p w14:paraId="0000002F">
      <w:pPr>
        <w:spacing w:before="240" w:after="240"/>
        <w:ind w:left="600" w:right="600" w:firstLine="0"/>
        <w:jc w:val="both"/>
        <w:rPr>
          <w:rFonts w:ascii="Times New Roman" w:hAnsi="Times New Roman" w:eastAsia="Times New Roman" w:cs="Times New Roman"/>
          <w:sz w:val="20"/>
          <w:szCs w:val="20"/>
        </w:rPr>
      </w:pPr>
    </w:p>
    <w:tbl>
      <w:tblPr>
        <w:tblStyle w:val="13"/>
        <w:tblW w:w="901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815"/>
        <w:gridCol w:w="1800"/>
        <w:gridCol w:w="1860"/>
        <w:gridCol w:w="1725"/>
        <w:gridCol w:w="1815"/>
      </w:tblGrid>
      <w:tr w14:paraId="5677F8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02" w:hRule="atLeast"/>
        </w:trPr>
        <w:tc>
          <w:tcPr>
            <w:tcBorders>
              <w:top w:val="nil"/>
              <w:left w:val="nil"/>
              <w:bottom w:val="nil"/>
              <w:right w:val="nil"/>
            </w:tcBorders>
            <w:tcMar>
              <w:top w:w="100" w:type="dxa"/>
              <w:left w:w="100" w:type="dxa"/>
              <w:bottom w:w="100" w:type="dxa"/>
              <w:right w:w="100" w:type="dxa"/>
            </w:tcMar>
            <w:vAlign w:val="top"/>
          </w:tcPr>
          <w:p w14:paraId="00000030">
            <w:pPr>
              <w:spacing w:before="240" w:after="240"/>
              <w:ind w:left="720"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Pollutant </w:t>
            </w:r>
          </w:p>
        </w:tc>
        <w:tc>
          <w:tcPr>
            <w:tcBorders>
              <w:top w:val="nil"/>
              <w:left w:val="nil"/>
              <w:bottom w:val="nil"/>
              <w:right w:val="nil"/>
            </w:tcBorders>
            <w:tcMar>
              <w:top w:w="100" w:type="dxa"/>
              <w:left w:w="100" w:type="dxa"/>
              <w:bottom w:w="100" w:type="dxa"/>
              <w:right w:w="100" w:type="dxa"/>
            </w:tcMar>
            <w:vAlign w:val="top"/>
          </w:tcPr>
          <w:p w14:paraId="00000031">
            <w:pPr>
              <w:spacing w:before="240" w:after="240"/>
              <w:ind w:left="720"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Summer </w:t>
            </w:r>
          </w:p>
        </w:tc>
        <w:tc>
          <w:tcPr>
            <w:tcBorders>
              <w:top w:val="nil"/>
              <w:left w:val="nil"/>
              <w:bottom w:val="nil"/>
              <w:right w:val="nil"/>
            </w:tcBorders>
            <w:tcMar>
              <w:top w:w="100" w:type="dxa"/>
              <w:left w:w="100" w:type="dxa"/>
              <w:bottom w:w="100" w:type="dxa"/>
              <w:right w:w="100" w:type="dxa"/>
            </w:tcMar>
            <w:vAlign w:val="top"/>
          </w:tcPr>
          <w:p w14:paraId="00000032">
            <w:pPr>
              <w:spacing w:before="240" w:after="240"/>
              <w:ind w:left="720"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Autumn </w:t>
            </w:r>
          </w:p>
        </w:tc>
        <w:tc>
          <w:tcPr>
            <w:tcBorders>
              <w:top w:val="nil"/>
              <w:left w:val="nil"/>
              <w:bottom w:val="nil"/>
              <w:right w:val="nil"/>
            </w:tcBorders>
            <w:tcMar>
              <w:top w:w="100" w:type="dxa"/>
              <w:left w:w="100" w:type="dxa"/>
              <w:bottom w:w="100" w:type="dxa"/>
              <w:right w:w="100" w:type="dxa"/>
            </w:tcMar>
            <w:vAlign w:val="top"/>
          </w:tcPr>
          <w:p w14:paraId="00000033">
            <w:pPr>
              <w:spacing w:before="240" w:after="240"/>
              <w:ind w:left="720"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Winter </w:t>
            </w:r>
          </w:p>
        </w:tc>
        <w:tc>
          <w:tcPr>
            <w:tcBorders>
              <w:top w:val="nil"/>
              <w:left w:val="nil"/>
              <w:bottom w:val="nil"/>
              <w:right w:val="nil"/>
            </w:tcBorders>
            <w:tcMar>
              <w:top w:w="100" w:type="dxa"/>
              <w:left w:w="100" w:type="dxa"/>
              <w:bottom w:w="100" w:type="dxa"/>
              <w:right w:w="100" w:type="dxa"/>
            </w:tcMar>
            <w:vAlign w:val="top"/>
          </w:tcPr>
          <w:p w14:paraId="00000034">
            <w:pPr>
              <w:spacing w:before="240" w:after="240"/>
              <w:ind w:left="720"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Spring </w:t>
            </w:r>
          </w:p>
        </w:tc>
      </w:tr>
      <w:tr w14:paraId="0825B0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97" w:hRule="atLeast"/>
        </w:trPr>
        <w:tc>
          <w:tcPr>
            <w:tcBorders>
              <w:top w:val="nil"/>
              <w:left w:val="nil"/>
              <w:bottom w:val="nil"/>
              <w:right w:val="nil"/>
            </w:tcBorders>
            <w:tcMar>
              <w:top w:w="100" w:type="dxa"/>
              <w:left w:w="100" w:type="dxa"/>
              <w:bottom w:w="100" w:type="dxa"/>
              <w:right w:w="100" w:type="dxa"/>
            </w:tcMar>
            <w:vAlign w:val="top"/>
          </w:tcPr>
          <w:p w14:paraId="00000035">
            <w:pPr>
              <w:spacing w:before="240" w:after="240"/>
              <w:ind w:left="720"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PM2.5 </w:t>
            </w:r>
          </w:p>
        </w:tc>
        <w:tc>
          <w:tcPr>
            <w:tcBorders>
              <w:top w:val="nil"/>
              <w:left w:val="nil"/>
              <w:bottom w:val="nil"/>
              <w:right w:val="nil"/>
            </w:tcBorders>
            <w:tcMar>
              <w:top w:w="100" w:type="dxa"/>
              <w:left w:w="100" w:type="dxa"/>
              <w:bottom w:w="100" w:type="dxa"/>
              <w:right w:w="100" w:type="dxa"/>
            </w:tcMar>
            <w:vAlign w:val="top"/>
          </w:tcPr>
          <w:p w14:paraId="00000036">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24</w:t>
            </w:r>
          </w:p>
        </w:tc>
        <w:tc>
          <w:tcPr>
            <w:tcBorders>
              <w:top w:val="nil"/>
              <w:left w:val="nil"/>
              <w:bottom w:val="nil"/>
              <w:right w:val="nil"/>
            </w:tcBorders>
            <w:tcMar>
              <w:top w:w="100" w:type="dxa"/>
              <w:left w:w="100" w:type="dxa"/>
              <w:bottom w:w="100" w:type="dxa"/>
              <w:right w:w="100" w:type="dxa"/>
            </w:tcMar>
            <w:vAlign w:val="top"/>
          </w:tcPr>
          <w:p w14:paraId="00000037">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30</w:t>
            </w:r>
          </w:p>
        </w:tc>
        <w:tc>
          <w:tcPr>
            <w:tcBorders>
              <w:top w:val="nil"/>
              <w:left w:val="nil"/>
              <w:bottom w:val="nil"/>
              <w:right w:val="nil"/>
            </w:tcBorders>
            <w:tcMar>
              <w:top w:w="100" w:type="dxa"/>
              <w:left w:w="100" w:type="dxa"/>
              <w:bottom w:w="100" w:type="dxa"/>
              <w:right w:w="100" w:type="dxa"/>
            </w:tcMar>
            <w:vAlign w:val="top"/>
          </w:tcPr>
          <w:p w14:paraId="00000038">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47</w:t>
            </w:r>
          </w:p>
        </w:tc>
        <w:tc>
          <w:tcPr>
            <w:tcBorders>
              <w:top w:val="nil"/>
              <w:left w:val="nil"/>
              <w:bottom w:val="nil"/>
              <w:right w:val="nil"/>
            </w:tcBorders>
            <w:tcMar>
              <w:top w:w="100" w:type="dxa"/>
              <w:left w:w="100" w:type="dxa"/>
              <w:bottom w:w="100" w:type="dxa"/>
              <w:right w:w="100" w:type="dxa"/>
            </w:tcMar>
            <w:vAlign w:val="top"/>
          </w:tcPr>
          <w:p w14:paraId="00000039">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29</w:t>
            </w:r>
          </w:p>
        </w:tc>
      </w:tr>
      <w:tr w14:paraId="0DE12C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37" w:hRule="atLeast"/>
        </w:trPr>
        <w:tc>
          <w:tcPr>
            <w:tcBorders>
              <w:top w:val="nil"/>
              <w:left w:val="nil"/>
              <w:bottom w:val="nil"/>
              <w:right w:val="nil"/>
            </w:tcBorders>
            <w:tcMar>
              <w:top w:w="100" w:type="dxa"/>
              <w:left w:w="100" w:type="dxa"/>
              <w:bottom w:w="100" w:type="dxa"/>
              <w:right w:w="100" w:type="dxa"/>
            </w:tcMar>
            <w:vAlign w:val="top"/>
          </w:tcPr>
          <w:p w14:paraId="0000003A">
            <w:pPr>
              <w:spacing w:before="240" w:after="240"/>
              <w:ind w:left="720"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PM10 </w:t>
            </w:r>
          </w:p>
        </w:tc>
        <w:tc>
          <w:tcPr>
            <w:tcBorders>
              <w:top w:val="nil"/>
              <w:left w:val="nil"/>
              <w:bottom w:val="nil"/>
              <w:right w:val="nil"/>
            </w:tcBorders>
            <w:tcMar>
              <w:top w:w="100" w:type="dxa"/>
              <w:left w:w="100" w:type="dxa"/>
              <w:bottom w:w="100" w:type="dxa"/>
              <w:right w:w="100" w:type="dxa"/>
            </w:tcMar>
            <w:vAlign w:val="top"/>
          </w:tcPr>
          <w:p w14:paraId="0000003B">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35</w:t>
            </w:r>
          </w:p>
        </w:tc>
        <w:tc>
          <w:tcPr>
            <w:tcBorders>
              <w:top w:val="nil"/>
              <w:left w:val="nil"/>
              <w:bottom w:val="nil"/>
              <w:right w:val="nil"/>
            </w:tcBorders>
            <w:tcMar>
              <w:top w:w="100" w:type="dxa"/>
              <w:left w:w="100" w:type="dxa"/>
              <w:bottom w:w="100" w:type="dxa"/>
              <w:right w:w="100" w:type="dxa"/>
            </w:tcMar>
            <w:vAlign w:val="top"/>
          </w:tcPr>
          <w:p w14:paraId="0000003C">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40</w:t>
            </w:r>
          </w:p>
        </w:tc>
        <w:tc>
          <w:tcPr>
            <w:tcBorders>
              <w:top w:val="nil"/>
              <w:left w:val="nil"/>
              <w:bottom w:val="nil"/>
              <w:right w:val="nil"/>
            </w:tcBorders>
            <w:tcMar>
              <w:top w:w="100" w:type="dxa"/>
              <w:left w:w="100" w:type="dxa"/>
              <w:bottom w:w="100" w:type="dxa"/>
              <w:right w:w="100" w:type="dxa"/>
            </w:tcMar>
            <w:vAlign w:val="top"/>
          </w:tcPr>
          <w:p w14:paraId="0000003D">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60</w:t>
            </w:r>
          </w:p>
        </w:tc>
        <w:tc>
          <w:tcPr>
            <w:tcBorders>
              <w:top w:val="nil"/>
              <w:left w:val="nil"/>
              <w:bottom w:val="nil"/>
              <w:right w:val="nil"/>
            </w:tcBorders>
            <w:tcMar>
              <w:top w:w="100" w:type="dxa"/>
              <w:left w:w="100" w:type="dxa"/>
              <w:bottom w:w="100" w:type="dxa"/>
              <w:right w:w="100" w:type="dxa"/>
            </w:tcMar>
            <w:vAlign w:val="top"/>
          </w:tcPr>
          <w:p w14:paraId="0000003E">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38</w:t>
            </w:r>
          </w:p>
        </w:tc>
      </w:tr>
      <w:tr w14:paraId="246883F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nil"/>
              <w:left w:val="nil"/>
              <w:bottom w:val="nil"/>
              <w:right w:val="nil"/>
            </w:tcBorders>
            <w:tcMar>
              <w:top w:w="100" w:type="dxa"/>
              <w:left w:w="100" w:type="dxa"/>
              <w:bottom w:w="100" w:type="dxa"/>
              <w:right w:w="100" w:type="dxa"/>
            </w:tcMar>
            <w:vAlign w:val="top"/>
          </w:tcPr>
          <w:p w14:paraId="0000003F">
            <w:pPr>
              <w:spacing w:before="240" w:after="240"/>
              <w:ind w:left="720"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NO2 </w:t>
            </w:r>
          </w:p>
        </w:tc>
        <w:tc>
          <w:tcPr>
            <w:tcBorders>
              <w:top w:val="nil"/>
              <w:left w:val="nil"/>
              <w:bottom w:val="nil"/>
              <w:right w:val="nil"/>
            </w:tcBorders>
            <w:tcMar>
              <w:top w:w="100" w:type="dxa"/>
              <w:left w:w="100" w:type="dxa"/>
              <w:bottom w:w="100" w:type="dxa"/>
              <w:right w:w="100" w:type="dxa"/>
            </w:tcMar>
            <w:vAlign w:val="top"/>
          </w:tcPr>
          <w:p w14:paraId="00000040">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22</w:t>
            </w:r>
          </w:p>
        </w:tc>
        <w:tc>
          <w:tcPr>
            <w:tcBorders>
              <w:top w:val="nil"/>
              <w:left w:val="nil"/>
              <w:bottom w:val="nil"/>
              <w:right w:val="nil"/>
            </w:tcBorders>
            <w:tcMar>
              <w:top w:w="100" w:type="dxa"/>
              <w:left w:w="100" w:type="dxa"/>
              <w:bottom w:w="100" w:type="dxa"/>
              <w:right w:w="100" w:type="dxa"/>
            </w:tcMar>
            <w:vAlign w:val="top"/>
          </w:tcPr>
          <w:p w14:paraId="00000041">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28</w:t>
            </w:r>
          </w:p>
        </w:tc>
        <w:tc>
          <w:tcPr>
            <w:tcBorders>
              <w:top w:val="nil"/>
              <w:left w:val="nil"/>
              <w:bottom w:val="nil"/>
              <w:right w:val="nil"/>
            </w:tcBorders>
            <w:tcMar>
              <w:top w:w="100" w:type="dxa"/>
              <w:left w:w="100" w:type="dxa"/>
              <w:bottom w:w="100" w:type="dxa"/>
              <w:right w:w="100" w:type="dxa"/>
            </w:tcMar>
            <w:vAlign w:val="top"/>
          </w:tcPr>
          <w:p w14:paraId="00000042">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52</w:t>
            </w:r>
          </w:p>
        </w:tc>
        <w:tc>
          <w:tcPr>
            <w:tcBorders>
              <w:top w:val="nil"/>
              <w:left w:val="nil"/>
              <w:bottom w:val="nil"/>
              <w:right w:val="nil"/>
            </w:tcBorders>
            <w:tcMar>
              <w:top w:w="100" w:type="dxa"/>
              <w:left w:w="100" w:type="dxa"/>
              <w:bottom w:w="100" w:type="dxa"/>
              <w:right w:w="100" w:type="dxa"/>
            </w:tcMar>
            <w:vAlign w:val="top"/>
          </w:tcPr>
          <w:p w14:paraId="00000043">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26</w:t>
            </w:r>
          </w:p>
        </w:tc>
      </w:tr>
      <w:tr w14:paraId="4372FE3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nil"/>
              <w:left w:val="nil"/>
              <w:bottom w:val="nil"/>
              <w:right w:val="nil"/>
            </w:tcBorders>
            <w:tcMar>
              <w:top w:w="100" w:type="dxa"/>
              <w:left w:w="100" w:type="dxa"/>
              <w:bottom w:w="100" w:type="dxa"/>
              <w:right w:w="100" w:type="dxa"/>
            </w:tcMar>
            <w:vAlign w:val="top"/>
          </w:tcPr>
          <w:p w14:paraId="00000044">
            <w:pPr>
              <w:spacing w:before="240" w:after="240"/>
              <w:ind w:left="720"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O3</w:t>
            </w:r>
          </w:p>
        </w:tc>
        <w:tc>
          <w:tcPr>
            <w:tcBorders>
              <w:top w:val="nil"/>
              <w:left w:val="nil"/>
              <w:bottom w:val="nil"/>
              <w:right w:val="nil"/>
            </w:tcBorders>
            <w:tcMar>
              <w:top w:w="100" w:type="dxa"/>
              <w:left w:w="100" w:type="dxa"/>
              <w:bottom w:w="100" w:type="dxa"/>
              <w:right w:w="100" w:type="dxa"/>
            </w:tcMar>
            <w:vAlign w:val="top"/>
          </w:tcPr>
          <w:p w14:paraId="00000045">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18</w:t>
            </w:r>
          </w:p>
        </w:tc>
        <w:tc>
          <w:tcPr>
            <w:tcBorders>
              <w:top w:val="nil"/>
              <w:left w:val="nil"/>
              <w:bottom w:val="nil"/>
              <w:right w:val="nil"/>
            </w:tcBorders>
            <w:tcMar>
              <w:top w:w="100" w:type="dxa"/>
              <w:left w:w="100" w:type="dxa"/>
              <w:bottom w:w="100" w:type="dxa"/>
              <w:right w:w="100" w:type="dxa"/>
            </w:tcMar>
            <w:vAlign w:val="top"/>
          </w:tcPr>
          <w:p w14:paraId="00000046">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22</w:t>
            </w:r>
          </w:p>
        </w:tc>
        <w:tc>
          <w:tcPr>
            <w:tcBorders>
              <w:top w:val="nil"/>
              <w:left w:val="nil"/>
              <w:bottom w:val="nil"/>
              <w:right w:val="nil"/>
            </w:tcBorders>
            <w:tcMar>
              <w:top w:w="100" w:type="dxa"/>
              <w:left w:w="100" w:type="dxa"/>
              <w:bottom w:w="100" w:type="dxa"/>
              <w:right w:w="100" w:type="dxa"/>
            </w:tcMar>
            <w:vAlign w:val="top"/>
          </w:tcPr>
          <w:p w14:paraId="00000047">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33</w:t>
            </w:r>
          </w:p>
        </w:tc>
        <w:tc>
          <w:tcPr>
            <w:tcBorders>
              <w:top w:val="nil"/>
              <w:left w:val="nil"/>
              <w:bottom w:val="nil"/>
              <w:right w:val="nil"/>
            </w:tcBorders>
            <w:tcMar>
              <w:top w:w="100" w:type="dxa"/>
              <w:left w:w="100" w:type="dxa"/>
              <w:bottom w:w="100" w:type="dxa"/>
              <w:right w:w="100" w:type="dxa"/>
            </w:tcMar>
            <w:vAlign w:val="top"/>
          </w:tcPr>
          <w:p w14:paraId="00000048">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20</w:t>
            </w:r>
          </w:p>
        </w:tc>
      </w:tr>
    </w:tbl>
    <w:p w14:paraId="00000049">
      <w:pPr>
        <w:spacing w:before="240" w:after="240"/>
        <w:ind w:left="720" w:firstLine="0"/>
        <w:jc w:val="both"/>
        <w:rPr>
          <w:rFonts w:ascii="Times New Roman" w:hAnsi="Times New Roman" w:eastAsia="Times New Roman" w:cs="Times New Roman"/>
          <w:sz w:val="24"/>
          <w:szCs w:val="24"/>
        </w:rPr>
      </w:pPr>
    </w:p>
    <w:p w14:paraId="0000004A">
      <w:pPr>
        <w:spacing w:before="240" w:after="24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Table 1</w:t>
      </w:r>
      <w:r>
        <w:rPr>
          <w:rFonts w:ascii="Times New Roman" w:hAnsi="Times New Roman" w:eastAsia="Times New Roman" w:cs="Times New Roman"/>
          <w:sz w:val="24"/>
          <w:szCs w:val="24"/>
          <w:rtl w:val="0"/>
        </w:rPr>
        <w:t xml:space="preserve"> – Seasonal variation in average pollutant concentrations across all studied cities.</w:t>
      </w:r>
    </w:p>
    <w:p w14:paraId="0000004B">
      <w:pPr>
        <w:spacing w:before="240" w:after="240"/>
        <w:ind w:left="720" w:firstLine="0"/>
        <w:jc w:val="both"/>
        <w:rPr>
          <w:rFonts w:ascii="Times New Roman" w:hAnsi="Times New Roman" w:eastAsia="Times New Roman" w:cs="Times New Roman"/>
          <w:sz w:val="24"/>
          <w:szCs w:val="24"/>
        </w:rPr>
      </w:pPr>
    </w:p>
    <w:p w14:paraId="0000004C">
      <w:pPr>
        <w:pStyle w:val="2"/>
        <w:keepNext w:val="0"/>
        <w:keepLines w:val="0"/>
        <w:spacing w:after="80"/>
        <w:ind w:left="720" w:firstLine="0"/>
        <w:jc w:val="both"/>
        <w:rPr>
          <w:rFonts w:ascii="Times New Roman" w:hAnsi="Times New Roman" w:eastAsia="Times New Roman" w:cs="Times New Roman"/>
          <w:sz w:val="32"/>
          <w:szCs w:val="32"/>
        </w:rPr>
      </w:pPr>
      <w:bookmarkStart w:id="12" w:name="_uk32aslls3wk" w:colFirst="0" w:colLast="0"/>
      <w:bookmarkEnd w:id="12"/>
      <w:r>
        <w:rPr>
          <w:rFonts w:ascii="Times New Roman" w:hAnsi="Times New Roman" w:eastAsia="Times New Roman" w:cs="Times New Roman"/>
          <w:sz w:val="32"/>
          <w:szCs w:val="32"/>
          <w:rtl w:val="0"/>
        </w:rPr>
        <w:t>Methods</w:t>
      </w:r>
    </w:p>
    <w:p w14:paraId="0000004D">
      <w:pPr>
        <w:pStyle w:val="3"/>
        <w:keepNext w:val="0"/>
        <w:keepLines w:val="0"/>
        <w:spacing w:before="280"/>
        <w:jc w:val="both"/>
        <w:rPr>
          <w:rFonts w:ascii="Times New Roman" w:hAnsi="Times New Roman" w:eastAsia="Times New Roman" w:cs="Times New Roman"/>
          <w:sz w:val="28"/>
          <w:szCs w:val="28"/>
        </w:rPr>
      </w:pPr>
      <w:bookmarkStart w:id="13" w:name="_v3zamlaljuiv" w:colFirst="0" w:colLast="0"/>
      <w:bookmarkEnd w:id="13"/>
      <w:r>
        <w:rPr>
          <w:rFonts w:ascii="Times New Roman" w:hAnsi="Times New Roman" w:eastAsia="Times New Roman" w:cs="Times New Roman"/>
          <w:sz w:val="28"/>
          <w:szCs w:val="28"/>
          <w:rtl w:val="0"/>
        </w:rPr>
        <w:t>3.1 Study Sites</w:t>
      </w:r>
    </w:p>
    <w:p w14:paraId="0000004E">
      <w:pPr>
        <w:spacing w:before="240" w:after="2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selected cities (referred to as City A, B, and C) are located in the southeastern region of Brazil. Each city has a population between 200,000 and 500,000 and distinct economic activities ranging from manufacturing to services [2].</w:t>
      </w:r>
    </w:p>
    <w:p w14:paraId="0000004F">
      <w:pPr>
        <w:pStyle w:val="3"/>
        <w:keepNext w:val="0"/>
        <w:keepLines w:val="0"/>
        <w:spacing w:before="280"/>
        <w:jc w:val="both"/>
        <w:rPr>
          <w:rFonts w:ascii="Times New Roman" w:hAnsi="Times New Roman" w:eastAsia="Times New Roman" w:cs="Times New Roman"/>
          <w:sz w:val="28"/>
          <w:szCs w:val="28"/>
        </w:rPr>
      </w:pPr>
      <w:bookmarkStart w:id="14" w:name="_s4dxq4gy8z7s" w:colFirst="0" w:colLast="0"/>
      <w:bookmarkEnd w:id="14"/>
      <w:r>
        <w:rPr>
          <w:rFonts w:ascii="Times New Roman" w:hAnsi="Times New Roman" w:eastAsia="Times New Roman" w:cs="Times New Roman"/>
          <w:sz w:val="28"/>
          <w:szCs w:val="28"/>
          <w:rtl w:val="0"/>
        </w:rPr>
        <w:t>3.2 Data Collection</w:t>
      </w:r>
    </w:p>
    <w:p w14:paraId="00000050">
      <w:pPr>
        <w:spacing w:before="240" w:after="2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Air quality data were obtained from government-run automatic monitoring stations. Data included:</w:t>
      </w:r>
    </w:p>
    <w:p w14:paraId="00000051">
      <w:pPr>
        <w:numPr>
          <w:ilvl w:val="0"/>
          <w:numId w:val="3"/>
        </w:numPr>
        <w:spacing w:before="24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PM10 and PM2.5 (gravimetric and beta attenuation methods)</w:t>
      </w:r>
      <w:r>
        <w:rPr>
          <w:rFonts w:ascii="Times New Roman" w:hAnsi="Times New Roman" w:eastAsia="Times New Roman" w:cs="Times New Roman"/>
          <w:sz w:val="24"/>
          <w:szCs w:val="24"/>
          <w:rtl w:val="0"/>
        </w:rPr>
        <w:br w:type="textWrapping"/>
      </w:r>
    </w:p>
    <w:p w14:paraId="00000052">
      <w:pPr>
        <w:numPr>
          <w:ilvl w:val="0"/>
          <w:numId w:val="3"/>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SO₂ and NO₂ (UV fluorescence and chemiluminescence)</w:t>
      </w:r>
      <w:r>
        <w:rPr>
          <w:rFonts w:ascii="Times New Roman" w:hAnsi="Times New Roman" w:eastAsia="Times New Roman" w:cs="Times New Roman"/>
          <w:sz w:val="24"/>
          <w:szCs w:val="24"/>
          <w:rtl w:val="0"/>
        </w:rPr>
        <w:br w:type="textWrapping"/>
      </w:r>
    </w:p>
    <w:p w14:paraId="00000053">
      <w:pPr>
        <w:numPr>
          <w:ilvl w:val="0"/>
          <w:numId w:val="3"/>
        </w:numPr>
        <w:spacing w:before="0" w:beforeAutospacing="0" w:after="24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O₃ (UV photometry)</w:t>
      </w:r>
      <w:r>
        <w:rPr>
          <w:rFonts w:ascii="Times New Roman" w:hAnsi="Times New Roman" w:eastAsia="Times New Roman" w:cs="Times New Roman"/>
          <w:sz w:val="24"/>
          <w:szCs w:val="24"/>
          <w:rtl w:val="0"/>
        </w:rPr>
        <w:br w:type="textWrapping"/>
      </w:r>
    </w:p>
    <w:p w14:paraId="00000054">
      <w:pPr>
        <w:spacing w:before="240" w:after="2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Meteorological data were sourced from local meteorological institutes, providing temperature, humidity, wind direction/speed, and precipitation records [1].</w:t>
      </w:r>
    </w:p>
    <w:p w14:paraId="00000055">
      <w:pPr>
        <w:pStyle w:val="3"/>
        <w:keepNext w:val="0"/>
        <w:keepLines w:val="0"/>
        <w:spacing w:before="280"/>
        <w:jc w:val="both"/>
        <w:rPr>
          <w:rFonts w:ascii="Times New Roman" w:hAnsi="Times New Roman" w:eastAsia="Times New Roman" w:cs="Times New Roman"/>
          <w:sz w:val="28"/>
          <w:szCs w:val="28"/>
        </w:rPr>
      </w:pPr>
      <w:bookmarkStart w:id="15" w:name="_r1h4y6h4y23k" w:colFirst="0" w:colLast="0"/>
      <w:bookmarkEnd w:id="15"/>
      <w:r>
        <w:rPr>
          <w:rFonts w:ascii="Times New Roman" w:hAnsi="Times New Roman" w:eastAsia="Times New Roman" w:cs="Times New Roman"/>
          <w:sz w:val="28"/>
          <w:szCs w:val="28"/>
          <w:rtl w:val="0"/>
        </w:rPr>
        <w:t>3.3 Statistical Analysis</w:t>
      </w:r>
    </w:p>
    <w:p w14:paraId="00000056">
      <w:pPr>
        <w:spacing w:before="240" w:after="2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Statistical analyses were performed using </w:t>
      </w:r>
      <w:r>
        <w:rPr>
          <w:rFonts w:ascii="Times New Roman" w:hAnsi="Times New Roman" w:eastAsia="Times New Roman" w:cs="Times New Roman"/>
          <w:b/>
          <w:sz w:val="24"/>
          <w:szCs w:val="24"/>
          <w:rtl w:val="0"/>
        </w:rPr>
        <w:t>R software</w:t>
      </w:r>
      <w:r>
        <w:rPr>
          <w:rFonts w:ascii="Times New Roman" w:hAnsi="Times New Roman" w:eastAsia="Times New Roman" w:cs="Times New Roman"/>
          <w:sz w:val="24"/>
          <w:szCs w:val="24"/>
          <w:rtl w:val="0"/>
        </w:rPr>
        <w:t>. Tools included:</w:t>
      </w:r>
    </w:p>
    <w:p w14:paraId="00000057">
      <w:pPr>
        <w:numPr>
          <w:ilvl w:val="0"/>
          <w:numId w:val="4"/>
        </w:numPr>
        <w:spacing w:before="24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Pearson correlation</w:t>
      </w:r>
      <w:r>
        <w:rPr>
          <w:rFonts w:ascii="Times New Roman" w:hAnsi="Times New Roman" w:eastAsia="Times New Roman" w:cs="Times New Roman"/>
          <w:sz w:val="24"/>
          <w:szCs w:val="24"/>
          <w:rtl w:val="0"/>
        </w:rPr>
        <w:t xml:space="preserve"> to evaluate relationships among variables.</w:t>
      </w:r>
      <w:r>
        <w:rPr>
          <w:rFonts w:ascii="Times New Roman" w:hAnsi="Times New Roman" w:eastAsia="Times New Roman" w:cs="Times New Roman"/>
          <w:sz w:val="24"/>
          <w:szCs w:val="24"/>
          <w:rtl w:val="0"/>
        </w:rPr>
        <w:br w:type="textWrapping"/>
      </w:r>
    </w:p>
    <w:p w14:paraId="00000058">
      <w:pPr>
        <w:numPr>
          <w:ilvl w:val="0"/>
          <w:numId w:val="4"/>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ANOVA</w:t>
      </w:r>
      <w:r>
        <w:rPr>
          <w:rFonts w:ascii="Times New Roman" w:hAnsi="Times New Roman" w:eastAsia="Times New Roman" w:cs="Times New Roman"/>
          <w:sz w:val="24"/>
          <w:szCs w:val="24"/>
          <w:rtl w:val="0"/>
        </w:rPr>
        <w:t xml:space="preserve"> to assess pollutant variation across seasons and cities.</w:t>
      </w:r>
      <w:r>
        <w:rPr>
          <w:rFonts w:ascii="Times New Roman" w:hAnsi="Times New Roman" w:eastAsia="Times New Roman" w:cs="Times New Roman"/>
          <w:sz w:val="24"/>
          <w:szCs w:val="24"/>
          <w:rtl w:val="0"/>
        </w:rPr>
        <w:br w:type="textWrapping"/>
      </w:r>
    </w:p>
    <w:p w14:paraId="00000059">
      <w:pPr>
        <w:numPr>
          <w:ilvl w:val="0"/>
          <w:numId w:val="4"/>
        </w:numPr>
        <w:spacing w:before="0" w:beforeAutospacing="0" w:after="240"/>
        <w:ind w:left="720" w:hanging="36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Multiple linear regression</w:t>
      </w:r>
      <w:r>
        <w:rPr>
          <w:rFonts w:ascii="Times New Roman" w:hAnsi="Times New Roman" w:eastAsia="Times New Roman" w:cs="Times New Roman"/>
          <w:sz w:val="24"/>
          <w:szCs w:val="24"/>
          <w:rtl w:val="0"/>
        </w:rPr>
        <w:t xml:space="preserve"> to model pollutant concentrations based on meteorological conditions and emission patterns.</w:t>
      </w:r>
    </w:p>
    <w:p w14:paraId="0000005A">
      <w:pPr>
        <w:spacing w:before="240" w:after="240"/>
        <w:jc w:val="both"/>
        <w:rPr>
          <w:rFonts w:ascii="Times New Roman" w:hAnsi="Times New Roman" w:eastAsia="Times New Roman" w:cs="Times New Roman"/>
          <w:sz w:val="24"/>
          <w:szCs w:val="24"/>
        </w:rPr>
      </w:pPr>
    </w:p>
    <w:p w14:paraId="0000005B">
      <w:pPr>
        <w:spacing w:before="240" w:after="240"/>
        <w:ind w:left="720" w:firstLine="0"/>
        <w:jc w:val="both"/>
        <w:rPr>
          <w:rFonts w:ascii="Times New Roman" w:hAnsi="Times New Roman" w:eastAsia="Times New Roman" w:cs="Times New Roman"/>
          <w:sz w:val="24"/>
          <w:szCs w:val="24"/>
        </w:rPr>
      </w:pPr>
      <w:bookmarkStart w:id="17" w:name="_GoBack"/>
      <w:bookmarkEnd w:id="17"/>
    </w:p>
    <w:p w14:paraId="0000005C">
      <w:pPr>
        <w:pStyle w:val="2"/>
        <w:keepNext w:val="0"/>
        <w:keepLines w:val="0"/>
        <w:spacing w:after="80"/>
        <w:ind w:left="720" w:firstLine="0"/>
        <w:jc w:val="both"/>
        <w:rPr>
          <w:rFonts w:ascii="Times New Roman" w:hAnsi="Times New Roman" w:eastAsia="Times New Roman" w:cs="Times New Roman"/>
          <w:sz w:val="32"/>
          <w:szCs w:val="32"/>
        </w:rPr>
      </w:pPr>
      <w:bookmarkStart w:id="16" w:name="_6dd8y75ygzjk" w:colFirst="0" w:colLast="0"/>
      <w:bookmarkEnd w:id="16"/>
      <w:r>
        <w:rPr>
          <w:rFonts w:ascii="Times New Roman" w:hAnsi="Times New Roman" w:eastAsia="Times New Roman" w:cs="Times New Roman"/>
          <w:sz w:val="32"/>
          <w:szCs w:val="32"/>
          <w:rtl w:val="0"/>
        </w:rPr>
        <w:t>References</w:t>
      </w:r>
    </w:p>
    <w:p w14:paraId="0000005D">
      <w:pPr>
        <w:numPr>
          <w:ilvl w:val="0"/>
          <w:numId w:val="5"/>
        </w:numPr>
        <w:spacing w:before="24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World Health Organization. </w:t>
      </w:r>
      <w:r>
        <w:rPr>
          <w:rFonts w:ascii="Times New Roman" w:hAnsi="Times New Roman" w:eastAsia="Times New Roman" w:cs="Times New Roman"/>
          <w:i/>
          <w:sz w:val="24"/>
          <w:szCs w:val="24"/>
          <w:rtl w:val="0"/>
        </w:rPr>
        <w:t>Air quality guidelines for particulate matter, ozone, nitrogen dioxide and sulfur dioxide</w:t>
      </w:r>
      <w:r>
        <w:rPr>
          <w:rFonts w:ascii="Times New Roman" w:hAnsi="Times New Roman" w:eastAsia="Times New Roman" w:cs="Times New Roman"/>
          <w:sz w:val="24"/>
          <w:szCs w:val="24"/>
          <w:rtl w:val="0"/>
        </w:rPr>
        <w:t>. Geneva: WHO; 2021.</w:t>
      </w:r>
      <w:r>
        <w:rPr>
          <w:rFonts w:ascii="Times New Roman" w:hAnsi="Times New Roman" w:eastAsia="Times New Roman" w:cs="Times New Roman"/>
          <w:sz w:val="24"/>
          <w:szCs w:val="24"/>
          <w:rtl w:val="0"/>
        </w:rPr>
        <w:br w:type="textWrapping"/>
      </w:r>
    </w:p>
    <w:p w14:paraId="0000005E">
      <w:pPr>
        <w:numPr>
          <w:ilvl w:val="0"/>
          <w:numId w:val="5"/>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CETESB - Environmental Company of the State of São Paulo. </w:t>
      </w:r>
      <w:r>
        <w:rPr>
          <w:rFonts w:ascii="Times New Roman" w:hAnsi="Times New Roman" w:eastAsia="Times New Roman" w:cs="Times New Roman"/>
          <w:i/>
          <w:sz w:val="24"/>
          <w:szCs w:val="24"/>
          <w:rtl w:val="0"/>
        </w:rPr>
        <w:t>Air quality report in the state of São Paulo 2023</w:t>
      </w:r>
      <w:r>
        <w:rPr>
          <w:rFonts w:ascii="Times New Roman" w:hAnsi="Times New Roman" w:eastAsia="Times New Roman" w:cs="Times New Roman"/>
          <w:sz w:val="24"/>
          <w:szCs w:val="24"/>
          <w:rtl w:val="0"/>
        </w:rPr>
        <w:t>. São Paulo: CETESB; 2024.</w:t>
      </w:r>
      <w:r>
        <w:rPr>
          <w:rFonts w:ascii="Times New Roman" w:hAnsi="Times New Roman" w:eastAsia="Times New Roman" w:cs="Times New Roman"/>
          <w:sz w:val="24"/>
          <w:szCs w:val="24"/>
          <w:rtl w:val="0"/>
        </w:rPr>
        <w:br w:type="textWrapping"/>
      </w:r>
    </w:p>
    <w:p w14:paraId="0000005F">
      <w:pPr>
        <w:numPr>
          <w:ilvl w:val="0"/>
          <w:numId w:val="5"/>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Braga, A. L. F. et al. </w:t>
      </w:r>
      <w:r>
        <w:rPr>
          <w:rFonts w:ascii="Times New Roman" w:hAnsi="Times New Roman" w:eastAsia="Times New Roman" w:cs="Times New Roman"/>
          <w:i/>
          <w:sz w:val="24"/>
          <w:szCs w:val="24"/>
          <w:rtl w:val="0"/>
        </w:rPr>
        <w:t>Air pollution and health effects: an epidemiological approach</w:t>
      </w:r>
      <w:r>
        <w:rPr>
          <w:rFonts w:ascii="Times New Roman" w:hAnsi="Times New Roman" w:eastAsia="Times New Roman" w:cs="Times New Roman"/>
          <w:sz w:val="24"/>
          <w:szCs w:val="24"/>
          <w:rtl w:val="0"/>
        </w:rPr>
        <w:t>. São Paulo: Hucitec Publishing, 2019.</w:t>
      </w:r>
      <w:r>
        <w:rPr>
          <w:rFonts w:ascii="Times New Roman" w:hAnsi="Times New Roman" w:eastAsia="Times New Roman" w:cs="Times New Roman"/>
          <w:sz w:val="24"/>
          <w:szCs w:val="24"/>
          <w:rtl w:val="0"/>
        </w:rPr>
        <w:br w:type="textWrapping"/>
      </w:r>
    </w:p>
    <w:p w14:paraId="00000060">
      <w:pPr>
        <w:numPr>
          <w:ilvl w:val="0"/>
          <w:numId w:val="5"/>
        </w:numPr>
        <w:spacing w:before="0" w:beforeAutospacing="0" w:after="24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Saldiva, P. H. N.; Lombardi, C. </w:t>
      </w:r>
      <w:r>
        <w:rPr>
          <w:rFonts w:ascii="Times New Roman" w:hAnsi="Times New Roman" w:eastAsia="Times New Roman" w:cs="Times New Roman"/>
          <w:i/>
          <w:sz w:val="24"/>
          <w:szCs w:val="24"/>
          <w:rtl w:val="0"/>
        </w:rPr>
        <w:t>Impacts of air pollution on health</w:t>
      </w:r>
      <w:r>
        <w:rPr>
          <w:rFonts w:ascii="Times New Roman" w:hAnsi="Times New Roman" w:eastAsia="Times New Roman" w:cs="Times New Roman"/>
          <w:sz w:val="24"/>
          <w:szCs w:val="24"/>
          <w:rtl w:val="0"/>
        </w:rPr>
        <w:t>. USP Journal, no. 114, pp. 65–78, 2022.</w:t>
      </w:r>
      <w:r>
        <w:rPr>
          <w:rFonts w:ascii="Times New Roman" w:hAnsi="Times New Roman" w:eastAsia="Times New Roman" w:cs="Times New Roman"/>
          <w:sz w:val="24"/>
          <w:szCs w:val="24"/>
          <w:rtl w:val="0"/>
        </w:rPr>
        <w:br w:type="textWrapping"/>
      </w:r>
    </w:p>
    <w:p w14:paraId="00000061">
      <w:pPr>
        <w:spacing w:before="240" w:after="240"/>
        <w:ind w:left="720" w:firstLine="0"/>
        <w:jc w:val="both"/>
        <w:rPr>
          <w:rFonts w:ascii="Times New Roman" w:hAnsi="Times New Roman" w:eastAsia="Times New Roman" w:cs="Times New Roman"/>
          <w:sz w:val="24"/>
          <w:szCs w:val="24"/>
        </w:rPr>
      </w:pPr>
    </w:p>
    <w:p w14:paraId="00000062">
      <w:pPr>
        <w:jc w:val="both"/>
        <w:rPr>
          <w:rFonts w:ascii="Times New Roman" w:hAnsi="Times New Roman" w:eastAsia="Times New Roman" w:cs="Times New Roman"/>
          <w:sz w:val="24"/>
          <w:szCs w:val="24"/>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C8879AEF"/>
    <w:multiLevelType w:val="multilevel"/>
    <w:tmpl w:val="C8879A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4D4DC07F"/>
    <w:multiLevelType w:val="multilevel"/>
    <w:tmpl w:val="4D4DC07F"/>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4">
    <w:nsid w:val="5A241D34"/>
    <w:multiLevelType w:val="multilevel"/>
    <w:tmpl w:val="5A241D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 w:numId="2">
    <w:abstractNumId w:val="2"/>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37263F3B"/>
    <w:rsid w:val="67A32E6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zh-C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 Normal1"/>
    <w:qFormat/>
    <w:uiPriority w:val="0"/>
  </w:style>
  <w:style w:type="table" w:customStyle="1" w:styleId="13">
    <w:name w:val="_Style 10"/>
    <w:basedOn w:val="12"/>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5</Pages>
  <TotalTime>12</TotalTime>
  <ScaleCrop>false</ScaleCrop>
  <LinksUpToDate>false</LinksUpToDate>
  <Application>WPS Office_12.2.0.21183_F1E327BC-269C-435d-A152-05C5408002CA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2025-05-09T01:06:00Z</dcterms:created>
  <dc:creator>leokb</dc:creator>
  <dcterms:modified xsi:type="dcterms:W3CDTF">2025-06-13T13:05:18Z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1033-12.2.0.21183</vt:lpwstr>
  </property>
  <property fmtid="{D5CDD505-2E9C-101B-9397-08002B2CF9AE}" pid="3" name="ICV">
    <vt:lpwstr>01889D9B1868433893B929B7B4C792CD_12</vt:lpwstr>
  </property>
</Properties>
</file>