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pPr>
      <w:r>
        <w:t>Before You Start</w:t>
      </w:r>
    </w:p>
    <w:p>
      <w:pPr/>
      <w:r>
        <w:t>Please read all instructions carefully before editing this template. The structure and format are important for proper processing by our platform.</w:t>
      </w:r>
    </w:p>
    <w:p>
      <w:pPr/>
      <w:r/>
    </w:p>
    <w:p>
      <w:pPr>
        <w:pStyle w:val="3"/>
      </w:pPr>
      <w:r>
        <w:t>Step 1: Fill in Your Paper Information</w:t>
      </w:r>
    </w:p>
    <w:p>
      <w:pPr/>
      <w:r>
        <w:t>Edit the title, abstract, keywords, and main content sections. Make sure to:</w:t>
      </w:r>
    </w:p>
    <w:p>
      <w:pPr/>
      <w:r>
        <w:t>• Replace the current title with your paper title</w:t>
      </w:r>
    </w:p>
    <w:p>
      <w:pPr/>
      <w:r>
        <w:t>• Update the abstract with a summary of your research (150-300 words)</w:t>
      </w:r>
    </w:p>
    <w:p>
      <w:pPr/>
      <w:r>
        <w:t>• Add relevant keywords separated by commas</w:t>
      </w:r>
    </w:p>
    <w:p>
      <w:pPr/>
      <w:r>
        <w:t>• Keep the same structure: Abstract, Main Content, Discussion/Conclusions, Methods, and References</w:t>
      </w:r>
    </w:p>
    <w:p>
      <w:pPr/>
      <w:r/>
    </w:p>
    <w:p>
      <w:pPr>
        <w:pStyle w:val="3"/>
      </w:pPr>
      <w:r>
        <w:t>Step 2: Maintain Proper Formatting</w:t>
      </w:r>
    </w:p>
    <w:p>
      <w:pPr/>
      <w:r>
        <w:t>Use the following styles for each section:</w:t>
      </w:r>
    </w:p>
    <w:p>
      <w:pPr/>
      <w:r>
        <w:t>• Title: For your paper title (automatically set)</w:t>
      </w:r>
    </w:p>
    <w:p>
      <w:pPr/>
      <w:r>
        <w:t>• Heading 1: For major sections (Abstract, Main, Discussion/Conclusions, Methods, References)</w:t>
      </w:r>
    </w:p>
    <w:p>
      <w:pPr/>
      <w:r>
        <w:t>• Heading 2: For subsections (e.g., 1.1, 2.1, 3.1)</w:t>
      </w:r>
    </w:p>
    <w:p>
      <w:pPr/>
      <w:r>
        <w:t>• Normal: For body text and paragraphs</w:t>
      </w:r>
    </w:p>
    <w:p>
      <w:pPr/>
      <w:r/>
    </w:p>
    <w:p>
      <w:pPr>
        <w:pStyle w:val="3"/>
      </w:pPr>
      <w:r>
        <w:t>Step 3: Add Your Content</w:t>
      </w:r>
    </w:p>
    <w:p>
      <w:pPr/>
      <w:r>
        <w:t>Follow the existing structure and fill in each section with your research content:</w:t>
      </w:r>
    </w:p>
    <w:p>
      <w:pPr/>
      <w:r>
        <w:t>• Main section: Include your introduction and main findings</w:t>
      </w:r>
    </w:p>
    <w:p>
      <w:pPr/>
      <w:r>
        <w:t>• Discussion/Conclusions: Discuss your results and implications</w:t>
      </w:r>
    </w:p>
    <w:p>
      <w:pPr/>
      <w:r>
        <w:t>• Methods: Describe your research methodology</w:t>
      </w:r>
    </w:p>
    <w:p>
      <w:pPr/>
      <w:r>
        <w:t>• References: List all your sources at the end</w:t>
      </w:r>
    </w:p>
    <w:p>
      <w:pPr/>
      <w:r/>
    </w:p>
    <w:p>
      <w:pPr>
        <w:pStyle w:val="3"/>
      </w:pPr>
      <w:r>
        <w:t>Step 4: Include Figures and Tables</w:t>
      </w:r>
    </w:p>
    <w:p>
      <w:pPr/>
      <w:r>
        <w:t>You can add figures and tables in the appropriate sections. Use the Heading 2 style for captions (e.g., "Figure 1: Description" or "Table 1: Description").</w:t>
      </w:r>
    </w:p>
    <w:p>
      <w:pPr/>
      <w:r/>
    </w:p>
    <w:p>
      <w:pPr>
        <w:pStyle w:val="3"/>
      </w:pPr>
      <w:r>
        <w:t>Step 5: Review Before Submission</w:t>
      </w:r>
    </w:p>
    <w:p>
      <w:pPr/>
      <w:r>
        <w:t>Before uploading to the platform:</w:t>
      </w:r>
    </w:p>
    <w:p>
      <w:pPr/>
      <w:r>
        <w:t>• Check spelling and grammar</w:t>
      </w:r>
    </w:p>
    <w:p>
      <w:pPr/>
      <w:r>
        <w:t>• Verify all formatting is consistent</w:t>
      </w:r>
    </w:p>
    <w:p>
      <w:pPr/>
      <w:r>
        <w:t>• Ensure all references are properly cited</w:t>
      </w:r>
    </w:p>
    <w:p>
      <w:pPr/>
      <w:r>
        <w:t>• Save the file as .docx (Word format)</w:t>
      </w:r>
    </w:p>
    <w:p>
      <w:pPr/>
      <w:r/>
    </w:p>
    <w:p>
      <w:pPr>
        <w:pStyle w:val="3"/>
      </w:pPr>
      <w:r>
        <w:t>Step 6: Upload to the Platform</w:t>
      </w:r>
    </w:p>
    <w:p>
      <w:pPr/>
      <w:r>
        <w:t>Once your paper is ready:</w:t>
      </w:r>
    </w:p>
    <w:p>
      <w:pPr/>
      <w:r>
        <w:t>1. Log in to the SciLedger platform</w:t>
      </w:r>
    </w:p>
    <w:p>
      <w:pPr/>
      <w:r>
        <w:t>2. Go to "Publish" section</w:t>
      </w:r>
    </w:p>
    <w:p>
      <w:pPr/>
      <w:r>
        <w:t>3. Click "New Paper" and fill in the metadata</w:t>
      </w:r>
    </w:p>
    <w:p>
      <w:pPr/>
      <w:r>
        <w:t>4. Upload this .docx file when prompted</w:t>
      </w:r>
    </w:p>
    <w:p>
      <w:pPr/>
      <w:r>
        <w:t>5. Review your paper information and submit</w:t>
      </w:r>
    </w:p>
    <w:p>
      <w:pPr/>
      <w:r/>
    </w:p>
    <w:p>
      <w:pPr>
        <w:pStyle w:val="3"/>
      </w:pPr>
      <w:r>
        <w:t>Important Notes</w:t>
      </w:r>
    </w:p>
    <w:p>
      <w:pPr/>
      <w:r>
        <w:t>• Keep the section hierarchy consistent</w:t>
      </w:r>
    </w:p>
    <w:p>
      <w:pPr/>
      <w:r>
        <w:t>• Do not remove or rename the main sections</w:t>
      </w:r>
    </w:p>
    <w:p>
      <w:pPr/>
      <w:r>
        <w:t>• Ensure file is saved as .docx before uploading</w:t>
      </w:r>
    </w:p>
    <w:p>
      <w:pPr/>
      <w:r>
        <w:t>• Maximum file size: 25 MB</w:t>
      </w:r>
    </w:p>
    <w:p>
      <w:pPr/>
      <w:r>
        <w:t>• Supported formats: .docx, .pdf (if directly submitting)</w:t>
      </w:r>
    </w:p>
    <w:p>
      <w:pPr/>
      <w:r/>
    </w:p>
    <w:p>
      <w:pPr>
        <w:pStyle w:val="3"/>
      </w:pPr>
      <w:r>
        <w:t>Need Help?</w:t>
      </w:r>
    </w:p>
    <w:p>
      <w:pPr/>
      <w:r>
        <w:t>If you have questions about submitting your paper or need clarification on the format, please visit our Help section or contact our support team.</w:t>
      </w:r>
    </w:p>
    <w:p>
      <w:pPr/>
      <w:r/>
    </w:p>
    <w:p>
      <w:pPr/>
      <w:r/>
    </w:p>
    <w:p>
      <w:pPr/>
      <w:r/>
    </w:p>
    <w:p>
      <w:pPr>
        <w:pStyle w:val="2"/>
      </w:pPr>
      <w:r>
        <w:t>Instructions for Paper Submission</w:t>
      </w:r>
    </w:p>
    <w:p>
      <w:r/>
    </w:p>
    <w:p>
      <w:pPr>
        <w:pStyle w:val="11"/>
      </w:pPr>
      <w:r>
        <w:t>How to Submit Your Paper to the Platform</w:t>
      </w:r>
    </w:p>
    <w:p w14:paraId="00000001">
      <w:pPr>
        <w:pStyle w:val="11"/>
        <w:keepNext w:val="0"/>
        <w:keepLines w:val="0"/>
        <w:spacing w:before="480"/>
        <w:ind w:left="0" w:firstLine="0"/>
        <w:jc w:val="both"/>
        <w:rPr>
          <w:rFonts w:ascii="Times New Roman" w:hAnsi="Times New Roman" w:eastAsia="Times New Roman" w:cs="Times New Roman"/>
          <w:sz w:val="36"/>
          <w:szCs w:val="36"/>
        </w:rPr>
      </w:pPr>
      <w:bookmarkStart w:id="0" w:name="_v2tj6vw7hqpt" w:colFirst="0" w:colLast="0"/>
      <w:bookmarkEnd w:id="0"/>
      <w:r>
        <w:rPr>
          <w:rFonts w:ascii="Times New Roman" w:hAnsi="Times New Roman" w:eastAsia="Times New Roman" w:cs="Times New Roman"/>
          <w:sz w:val="36"/>
          <w:szCs w:val="36"/>
          <w:rtl w:val="0"/>
        </w:rPr>
        <w:t>Analysis of the Impact of Air Pollutants on Urban Air Quality: A Case Study in Medium-Sized Cities</w:t>
      </w:r>
    </w:p>
    <w:p w14:paraId="00000002">
      <w:pPr>
        <w:pStyle w:val="2"/>
        <w:keepNext w:val="0"/>
        <w:keepLines w:val="0"/>
        <w:spacing w:after="80"/>
        <w:ind w:left="720" w:firstLine="0"/>
        <w:jc w:val="both"/>
        <w:rPr>
          <w:rFonts w:ascii="Times New Roman" w:hAnsi="Times New Roman" w:eastAsia="Times New Roman" w:cs="Times New Roman"/>
          <w:b/>
          <w:sz w:val="28"/>
          <w:szCs w:val="28"/>
        </w:rPr>
      </w:pPr>
      <w:bookmarkStart w:id="1" w:name="_gm9cys7vp23g" w:colFirst="0" w:colLast="0"/>
      <w:bookmarkEnd w:id="1"/>
      <w:r>
        <w:rPr>
          <w:rFonts w:ascii="Times New Roman" w:hAnsi="Times New Roman" w:eastAsia="Times New Roman" w:cs="Times New Roman"/>
          <w:b/>
          <w:sz w:val="28"/>
          <w:szCs w:val="28"/>
          <w:rtl w:val="0"/>
        </w:rPr>
        <w:t>Abstract</w:t>
      </w:r>
    </w:p>
    <w:p w14:paraId="00000003">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This study investigates the effects of air pollutants on air quality in medium-sized cities, using data collected over 12 months in three municipalities in southeastern Brazil. The concentrations of particulate matter (PM10 and PM2.5), sulfur dioxide (SO₂), nitrogen dioxide (NO₂), and tropospheric ozone (O₃) were analyzed. From this data, seasonal patterns, predominant emission sources, and correlations with meteorological variables were identified. The results indicate that urban transportation and industrial activities are the main contributors to air pollution, with winter months being the most critical for air quality.</w:t>
      </w:r>
    </w:p>
    <w:p w14:paraId="00000004">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Keywords:</w:t>
      </w:r>
      <w:r>
        <w:rPr>
          <w:rFonts w:ascii="Times New Roman" w:hAnsi="Times New Roman" w:eastAsia="Times New Roman" w:cs="Times New Roman"/>
          <w:sz w:val="24"/>
          <w:szCs w:val="24"/>
          <w:rtl w:val="0"/>
        </w:rPr>
        <w:t xml:space="preserve"> air pollution, particulate matter, nitrogen dioxide, medium-sized cities, air quality.</w:t>
      </w:r>
    </w:p>
    <w:p w14:paraId="00000005">
      <w:pPr>
        <w:spacing w:before="240" w:after="240"/>
        <w:ind w:left="720" w:firstLine="0"/>
        <w:jc w:val="both"/>
        <w:rPr>
          <w:rFonts w:ascii="Times New Roman" w:hAnsi="Times New Roman" w:eastAsia="Times New Roman" w:cs="Times New Roman"/>
          <w:sz w:val="24"/>
          <w:szCs w:val="24"/>
        </w:rPr>
      </w:pPr>
    </w:p>
    <w:p w14:paraId="00000006">
      <w:pPr>
        <w:pStyle w:val="2"/>
        <w:keepNext w:val="0"/>
        <w:keepLines w:val="0"/>
        <w:spacing w:after="80"/>
        <w:ind w:left="720" w:firstLine="0"/>
        <w:jc w:val="both"/>
        <w:rPr>
          <w:rFonts w:ascii="Times New Roman" w:hAnsi="Times New Roman" w:eastAsia="Times New Roman" w:cs="Times New Roman"/>
          <w:b/>
          <w:sz w:val="32"/>
          <w:szCs w:val="32"/>
        </w:rPr>
      </w:pPr>
      <w:bookmarkStart w:id="2" w:name="_91mhlhcag6sa" w:colFirst="0" w:colLast="0"/>
      <w:bookmarkEnd w:id="2"/>
      <w:r>
        <w:rPr>
          <w:rFonts w:ascii="Times New Roman" w:hAnsi="Times New Roman" w:eastAsia="Times New Roman" w:cs="Times New Roman"/>
          <w:b/>
          <w:sz w:val="32"/>
          <w:szCs w:val="32"/>
          <w:rtl w:val="0"/>
        </w:rPr>
        <w:t>Main</w:t>
      </w:r>
    </w:p>
    <w:p w14:paraId="00000007">
      <w:pPr>
        <w:pStyle w:val="3"/>
        <w:keepNext w:val="0"/>
        <w:keepLines w:val="0"/>
        <w:spacing w:before="280"/>
        <w:jc w:val="both"/>
        <w:rPr>
          <w:rFonts w:ascii="Times New Roman" w:hAnsi="Times New Roman" w:eastAsia="Times New Roman" w:cs="Times New Roman"/>
          <w:sz w:val="28"/>
          <w:szCs w:val="28"/>
        </w:rPr>
      </w:pPr>
      <w:bookmarkStart w:id="3" w:name="_2lyj695mv9zl" w:colFirst="0" w:colLast="0"/>
      <w:bookmarkEnd w:id="3"/>
      <w:r>
        <w:rPr>
          <w:rFonts w:ascii="Times New Roman" w:hAnsi="Times New Roman" w:eastAsia="Times New Roman" w:cs="Times New Roman"/>
          <w:sz w:val="28"/>
          <w:szCs w:val="28"/>
          <w:rtl w:val="0"/>
        </w:rPr>
        <w:t>1.1 Urbanization and Air Pollution</w:t>
      </w:r>
    </w:p>
    <w:p w14:paraId="00000008">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Urbanization leads to increased emissions of air pollutants due to higher energy consumption, vehicular traffic, and industrial activity. While megacities receive considerable attention in environmental studies, medium-sized cities often lack adequate monitoring and mitigation strategies. As their populations grow, so do the environmental and health risks associated with air pollution [1].</w:t>
      </w:r>
    </w:p>
    <w:p w14:paraId="00000009">
      <w:pPr>
        <w:pStyle w:val="3"/>
        <w:keepNext w:val="0"/>
        <w:keepLines w:val="0"/>
        <w:spacing w:before="280"/>
        <w:jc w:val="both"/>
        <w:rPr>
          <w:rFonts w:ascii="Times New Roman" w:hAnsi="Times New Roman" w:eastAsia="Times New Roman" w:cs="Times New Roman"/>
          <w:sz w:val="28"/>
          <w:szCs w:val="28"/>
        </w:rPr>
      </w:pPr>
      <w:bookmarkStart w:id="4" w:name="_iptvzaccnt9" w:colFirst="0" w:colLast="0"/>
      <w:bookmarkEnd w:id="4"/>
      <w:r>
        <w:rPr>
          <w:rFonts w:ascii="Times New Roman" w:hAnsi="Times New Roman" w:eastAsia="Times New Roman" w:cs="Times New Roman"/>
          <w:sz w:val="28"/>
          <w:szCs w:val="28"/>
          <w:rtl w:val="0"/>
        </w:rPr>
        <w:t>1.2 Key Pollutants of Concern</w:t>
      </w:r>
    </w:p>
    <w:p w14:paraId="0000000A">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This study focuses on five major pollutants:</w:t>
      </w:r>
    </w:p>
    <w:p w14:paraId="0000000B">
      <w:pPr>
        <w:numPr>
          <w:ilvl w:val="0"/>
          <w:numId w:val="1"/>
        </w:numPr>
        <w:spacing w:before="24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PM10 and PM2.5</w:t>
      </w:r>
      <w:r>
        <w:rPr>
          <w:rFonts w:ascii="Times New Roman" w:hAnsi="Times New Roman" w:eastAsia="Times New Roman" w:cs="Times New Roman"/>
          <w:sz w:val="24"/>
          <w:szCs w:val="24"/>
          <w:rtl w:val="0"/>
        </w:rPr>
        <w:t>: These fine particles can penetrate deeply into the lungs and bloodstream [2].</w:t>
      </w:r>
      <w:r>
        <w:rPr>
          <w:rFonts w:ascii="Times New Roman" w:hAnsi="Times New Roman" w:eastAsia="Times New Roman" w:cs="Times New Roman"/>
          <w:sz w:val="24"/>
          <w:szCs w:val="24"/>
          <w:rtl w:val="0"/>
        </w:rPr>
        <w:br w:type="textWrapping"/>
      </w:r>
    </w:p>
    <w:p w14:paraId="0000000C">
      <w:pPr>
        <w:numPr>
          <w:ilvl w:val="0"/>
          <w:numId w:val="1"/>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NO₂ and SO₂</w:t>
      </w:r>
      <w:r>
        <w:rPr>
          <w:rFonts w:ascii="Times New Roman" w:hAnsi="Times New Roman" w:eastAsia="Times New Roman" w:cs="Times New Roman"/>
          <w:sz w:val="24"/>
          <w:szCs w:val="24"/>
          <w:rtl w:val="0"/>
        </w:rPr>
        <w:t>: Byproducts of combustion processes, especially from vehicles and industrial sources [3].</w:t>
      </w:r>
      <w:r>
        <w:rPr>
          <w:rFonts w:ascii="Times New Roman" w:hAnsi="Times New Roman" w:eastAsia="Times New Roman" w:cs="Times New Roman"/>
          <w:sz w:val="24"/>
          <w:szCs w:val="24"/>
          <w:rtl w:val="0"/>
        </w:rPr>
        <w:br w:type="textWrapping"/>
      </w:r>
    </w:p>
    <w:p w14:paraId="0000000D">
      <w:pPr>
        <w:numPr>
          <w:ilvl w:val="0"/>
          <w:numId w:val="1"/>
        </w:numPr>
        <w:spacing w:before="0" w:beforeAutospacing="0" w:after="240"/>
        <w:ind w:left="720" w:hanging="360"/>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O₃ (Tropospheric ozone)</w:t>
      </w:r>
      <w:r>
        <w:rPr>
          <w:rFonts w:ascii="Times New Roman" w:hAnsi="Times New Roman" w:eastAsia="Times New Roman" w:cs="Times New Roman"/>
          <w:sz w:val="24"/>
          <w:szCs w:val="24"/>
          <w:rtl w:val="0"/>
        </w:rPr>
        <w:t>: A secondary pollutant formed through chemical reactions involving sunlight and nitrogen oxides.</w:t>
      </w:r>
      <w:r>
        <w:rPr>
          <w:rFonts w:ascii="Times New Roman" w:hAnsi="Times New Roman" w:eastAsia="Times New Roman" w:cs="Times New Roman"/>
          <w:sz w:val="24"/>
          <w:szCs w:val="24"/>
          <w:rtl w:val="0"/>
        </w:rPr>
        <w:br w:type="textWrapping"/>
      </w:r>
    </w:p>
    <w:p w14:paraId="0000000E">
      <w:pPr>
        <w:pStyle w:val="3"/>
        <w:keepNext w:val="0"/>
        <w:keepLines w:val="0"/>
        <w:spacing w:before="280"/>
        <w:jc w:val="both"/>
        <w:rPr>
          <w:rFonts w:ascii="Times New Roman" w:hAnsi="Times New Roman" w:eastAsia="Times New Roman" w:cs="Times New Roman"/>
          <w:sz w:val="28"/>
          <w:szCs w:val="28"/>
        </w:rPr>
      </w:pPr>
      <w:bookmarkStart w:id="5" w:name="_is5l0zao8i7b" w:colFirst="0" w:colLast="0"/>
      <w:bookmarkEnd w:id="5"/>
      <w:r>
        <w:rPr>
          <w:rFonts w:ascii="Times New Roman" w:hAnsi="Times New Roman" w:eastAsia="Times New Roman" w:cs="Times New Roman"/>
          <w:sz w:val="28"/>
          <w:szCs w:val="28"/>
          <w:rtl w:val="0"/>
        </w:rPr>
        <w:t>1.3 Emission Sources and Urban Dynamics</w:t>
      </w:r>
    </w:p>
    <w:p w14:paraId="0000000F">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Field observations and historical records confirm that vehicular emissions, industrial discharges, and biomass burning are the dominant sources of pollution in the studied cities [2]. Differences in economic activities (e.g., heavy industry vs. service sector) influence pollutant profiles, as does the urban layout and availability of green areas.</w:t>
      </w:r>
    </w:p>
    <w:p w14:paraId="00000010">
      <w:pPr>
        <w:spacing w:before="240" w:after="240"/>
        <w:jc w:val="both"/>
        <w:rPr>
          <w:rFonts w:ascii="Times New Roman" w:hAnsi="Times New Roman" w:eastAsia="Times New Roman" w:cs="Times New Roman"/>
          <w:sz w:val="24"/>
          <w:szCs w:val="24"/>
        </w:rPr>
      </w:pPr>
    </w:p>
    <w:p w14:paraId="00000011">
      <w:pPr>
        <w:spacing w:before="240" w:after="240"/>
        <w:ind w:left="720" w:firstLine="0"/>
        <w:jc w:val="both"/>
        <w:rPr>
          <w:rFonts w:ascii="Times New Roman" w:hAnsi="Times New Roman" w:eastAsia="Times New Roman" w:cs="Times New Roman"/>
          <w:sz w:val="24"/>
          <w:szCs w:val="24"/>
        </w:rPr>
      </w:pPr>
    </w:p>
    <w:p w14:paraId="00000012">
      <w:pPr>
        <w:pStyle w:val="3"/>
        <w:keepNext w:val="0"/>
        <w:keepLines w:val="0"/>
        <w:spacing w:after="80"/>
        <w:ind w:left="720" w:firstLine="0"/>
        <w:jc w:val="both"/>
        <w:rPr>
          <w:rFonts w:ascii="Times New Roman" w:hAnsi="Times New Roman" w:eastAsia="Times New Roman" w:cs="Times New Roman"/>
          <w:b/>
          <w:sz w:val="34"/>
          <w:szCs w:val="34"/>
        </w:rPr>
      </w:pPr>
      <w:bookmarkStart w:id="6" w:name="_tez592tnut67" w:colFirst="0" w:colLast="0"/>
      <w:bookmarkEnd w:id="6"/>
      <w:r>
        <w:rPr>
          <w:rFonts w:ascii="Times New Roman" w:hAnsi="Times New Roman" w:eastAsia="Times New Roman" w:cs="Times New Roman"/>
          <w:b/>
          <w:sz w:val="34"/>
          <w:szCs w:val="34"/>
          <w:rtl w:val="0"/>
        </w:rPr>
        <w:t>Figure 1: Annual Concentration of Major Pollutants in City A</w:t>
      </w:r>
    </w:p>
    <w:p w14:paraId="00000013"/>
    <w:p w14:paraId="00000014"/>
    <w:p w14:paraId="0000001E">
      <w:pPr>
        <w:spacing w:before="240" w:after="240"/>
        <w:ind w:left="720" w:firstLine="0"/>
        <w:jc w:val="both"/>
        <w:rPr>
          <w:rFonts w:ascii="Times New Roman" w:hAnsi="Times New Roman" w:eastAsia="Times New Roman" w:cs="Times New Roman"/>
          <w:sz w:val="24"/>
          <w:szCs w:val="24"/>
        </w:rPr>
      </w:pPr>
      <w:r>
        <w:rPr>
          <w:rFonts w:ascii="SimSun" w:hAnsi="SimSun" w:eastAsia="SimSun" w:cs="SimSun"/>
          <w:sz w:val="24"/>
          <w:szCs w:val="24"/>
        </w:rPr>
        <w:drawing>
          <wp:inline distT="0" distB="0" distL="114300" distR="114300">
            <wp:extent cx="5725795" cy="3344545"/>
            <wp:effectExtent l="0" t="0" r="8255" b="8255"/>
            <wp:docPr id="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descr="IMG_256"/>
                    <pic:cNvPicPr>
                      <a:picLocks noChangeAspect="1"/>
                    </pic:cNvPicPr>
                  </pic:nvPicPr>
                  <pic:blipFill>
                    <a:blip r:embed="rId6"/>
                    <a:stretch>
                      <a:fillRect/>
                    </a:stretch>
                  </pic:blipFill>
                  <pic:spPr>
                    <a:xfrm>
                      <a:off x="0" y="0"/>
                      <a:ext cx="5725795" cy="3344545"/>
                    </a:xfrm>
                    <a:prstGeom prst="rect">
                      <a:avLst/>
                    </a:prstGeom>
                    <a:noFill/>
                    <a:ln w="9525">
                      <a:noFill/>
                    </a:ln>
                  </pic:spPr>
                </pic:pic>
              </a:graphicData>
            </a:graphic>
          </wp:inline>
        </w:drawing>
      </w:r>
    </w:p>
    <w:p w14:paraId="0000001F">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Figure 1</w:t>
      </w:r>
      <w:r>
        <w:rPr>
          <w:rFonts w:ascii="Times New Roman" w:hAnsi="Times New Roman" w:eastAsia="Times New Roman" w:cs="Times New Roman"/>
          <w:sz w:val="24"/>
          <w:szCs w:val="24"/>
          <w:rtl w:val="0"/>
        </w:rPr>
        <w:t xml:space="preserve"> – Monthly and average annual concentration (μg/m³) of key pollutants in City A over the year 2024.</w:t>
      </w:r>
    </w:p>
    <w:p w14:paraId="00000020">
      <w:pPr>
        <w:spacing w:before="240" w:after="240"/>
        <w:ind w:left="720" w:firstLine="0"/>
        <w:jc w:val="both"/>
        <w:rPr>
          <w:rFonts w:ascii="Times New Roman" w:hAnsi="Times New Roman" w:eastAsia="Times New Roman" w:cs="Times New Roman"/>
          <w:sz w:val="24"/>
          <w:szCs w:val="24"/>
        </w:rPr>
      </w:pPr>
    </w:p>
    <w:p w14:paraId="00000021">
      <w:pPr>
        <w:pStyle w:val="2"/>
        <w:keepNext w:val="0"/>
        <w:keepLines w:val="0"/>
        <w:spacing w:after="80"/>
        <w:ind w:left="720" w:firstLine="0"/>
        <w:jc w:val="both"/>
        <w:rPr>
          <w:rFonts w:ascii="Times New Roman" w:hAnsi="Times New Roman" w:eastAsia="Times New Roman" w:cs="Times New Roman"/>
          <w:b/>
          <w:sz w:val="32"/>
          <w:szCs w:val="32"/>
        </w:rPr>
      </w:pPr>
      <w:bookmarkStart w:id="7" w:name="_h4j0tdsocyza" w:colFirst="0" w:colLast="0"/>
      <w:bookmarkEnd w:id="7"/>
      <w:r>
        <w:rPr>
          <w:rFonts w:ascii="Times New Roman" w:hAnsi="Times New Roman" w:eastAsia="Times New Roman" w:cs="Times New Roman"/>
          <w:b/>
          <w:sz w:val="32"/>
          <w:szCs w:val="32"/>
          <w:rtl w:val="0"/>
        </w:rPr>
        <w:t>Discussion/Conclusions</w:t>
      </w:r>
    </w:p>
    <w:p w14:paraId="00000022">
      <w:pPr>
        <w:pStyle w:val="3"/>
        <w:keepNext w:val="0"/>
        <w:keepLines w:val="0"/>
        <w:spacing w:before="280"/>
        <w:jc w:val="both"/>
        <w:rPr>
          <w:rFonts w:ascii="Times New Roman" w:hAnsi="Times New Roman" w:eastAsia="Times New Roman" w:cs="Times New Roman"/>
          <w:sz w:val="28"/>
          <w:szCs w:val="28"/>
        </w:rPr>
      </w:pPr>
      <w:bookmarkStart w:id="8" w:name="_ykr63zuawc80" w:colFirst="0" w:colLast="0"/>
      <w:bookmarkEnd w:id="8"/>
      <w:r>
        <w:rPr>
          <w:rFonts w:ascii="Times New Roman" w:hAnsi="Times New Roman" w:eastAsia="Times New Roman" w:cs="Times New Roman"/>
          <w:sz w:val="28"/>
          <w:szCs w:val="28"/>
          <w:rtl w:val="0"/>
        </w:rPr>
        <w:t>2.1 Seasonal Trends and Health Implications</w:t>
      </w:r>
    </w:p>
    <w:p w14:paraId="00000023">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Pollutant levels were highest during the winter, when atmospheric conditions trap pollutants near the ground (a phenomenon known as thermal inversion) [4]. This leads to a spike in respiratory illnesses and hospitalizations, particularly among vulnerable populations such as children and the elderly.</w:t>
      </w:r>
    </w:p>
    <w:p w14:paraId="00000024">
      <w:pPr>
        <w:pStyle w:val="3"/>
        <w:keepNext w:val="0"/>
        <w:keepLines w:val="0"/>
        <w:spacing w:before="280"/>
        <w:jc w:val="both"/>
        <w:rPr>
          <w:rFonts w:ascii="Times New Roman" w:hAnsi="Times New Roman" w:eastAsia="Times New Roman" w:cs="Times New Roman"/>
          <w:sz w:val="28"/>
          <w:szCs w:val="28"/>
        </w:rPr>
      </w:pPr>
      <w:bookmarkStart w:id="9" w:name="_ykl5j4akcv7a" w:colFirst="0" w:colLast="0"/>
      <w:bookmarkEnd w:id="9"/>
      <w:r>
        <w:rPr>
          <w:rFonts w:ascii="Times New Roman" w:hAnsi="Times New Roman" w:eastAsia="Times New Roman" w:cs="Times New Roman"/>
          <w:sz w:val="28"/>
          <w:szCs w:val="28"/>
          <w:rtl w:val="0"/>
        </w:rPr>
        <w:t>2.2 Socioeconomic Impacts</w:t>
      </w:r>
    </w:p>
    <w:p w14:paraId="00000025">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Increased pollution correlates with decreased labor productivity, school absences, and higher public health costs [5]. Urban residents exposed to high levels of NO₂ and PM2.5 show increased cases of asthma, bronchitis, and cardiovascular disease [3].</w:t>
      </w:r>
    </w:p>
    <w:p w14:paraId="00000026">
      <w:pPr>
        <w:pStyle w:val="3"/>
        <w:keepNext w:val="0"/>
        <w:keepLines w:val="0"/>
        <w:spacing w:before="280"/>
        <w:jc w:val="both"/>
        <w:rPr>
          <w:rFonts w:ascii="Times New Roman" w:hAnsi="Times New Roman" w:eastAsia="Times New Roman" w:cs="Times New Roman"/>
          <w:sz w:val="28"/>
          <w:szCs w:val="28"/>
        </w:rPr>
      </w:pPr>
      <w:bookmarkStart w:id="10" w:name="_y3i40qib1gh0" w:colFirst="0" w:colLast="0"/>
      <w:bookmarkEnd w:id="10"/>
      <w:r>
        <w:rPr>
          <w:rFonts w:ascii="Times New Roman" w:hAnsi="Times New Roman" w:eastAsia="Times New Roman" w:cs="Times New Roman"/>
          <w:sz w:val="28"/>
          <w:szCs w:val="28"/>
          <w:rtl w:val="0"/>
        </w:rPr>
        <w:t>2.3 Need for Public Policy</w:t>
      </w:r>
    </w:p>
    <w:p w14:paraId="00000027">
      <w:pPr>
        <w:spacing w:before="240" w:after="24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The results highlight the urgent need for integrated environmental policies. Suggested actions include:</w:t>
      </w:r>
    </w:p>
    <w:p w14:paraId="00000028">
      <w:pPr>
        <w:numPr>
          <w:ilvl w:val="0"/>
          <w:numId w:val="2"/>
        </w:numPr>
        <w:spacing w:before="24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Expansion of green spaces and urban forests</w:t>
      </w:r>
      <w:r>
        <w:rPr>
          <w:rFonts w:ascii="Times New Roman" w:hAnsi="Times New Roman" w:eastAsia="Times New Roman" w:cs="Times New Roman"/>
          <w:sz w:val="24"/>
          <w:szCs w:val="24"/>
          <w:rtl w:val="0"/>
        </w:rPr>
        <w:br w:type="textWrapping"/>
      </w:r>
    </w:p>
    <w:p w14:paraId="00000029">
      <w:pPr>
        <w:numPr>
          <w:ilvl w:val="0"/>
          <w:numId w:val="2"/>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Electrification of public transport</w:t>
      </w:r>
      <w:r>
        <w:rPr>
          <w:rFonts w:ascii="Times New Roman" w:hAnsi="Times New Roman" w:eastAsia="Times New Roman" w:cs="Times New Roman"/>
          <w:sz w:val="24"/>
          <w:szCs w:val="24"/>
          <w:rtl w:val="0"/>
        </w:rPr>
        <w:br w:type="textWrapping"/>
      </w:r>
    </w:p>
    <w:p w14:paraId="0000002A">
      <w:pPr>
        <w:numPr>
          <w:ilvl w:val="0"/>
          <w:numId w:val="2"/>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Implementation of emissions-based vehicle taxes</w:t>
      </w:r>
      <w:r>
        <w:rPr>
          <w:rFonts w:ascii="Times New Roman" w:hAnsi="Times New Roman" w:eastAsia="Times New Roman" w:cs="Times New Roman"/>
          <w:sz w:val="24"/>
          <w:szCs w:val="24"/>
          <w:rtl w:val="0"/>
        </w:rPr>
        <w:br w:type="textWrapping"/>
      </w:r>
    </w:p>
    <w:p w14:paraId="0000002B">
      <w:pPr>
        <w:numPr>
          <w:ilvl w:val="0"/>
          <w:numId w:val="2"/>
        </w:numPr>
        <w:spacing w:before="0" w:beforeAutospacing="0" w:after="24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Periodic emission testing for industries [1][2]</w:t>
      </w:r>
    </w:p>
    <w:p w14:paraId="0000002C">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w:t>
      </w:r>
    </w:p>
    <w:p w14:paraId="0000002D">
      <w:pPr>
        <w:spacing w:before="240" w:after="240"/>
        <w:ind w:left="720" w:firstLine="0"/>
        <w:jc w:val="both"/>
        <w:rPr>
          <w:rFonts w:ascii="Times New Roman" w:hAnsi="Times New Roman" w:eastAsia="Times New Roman" w:cs="Times New Roman"/>
          <w:sz w:val="24"/>
          <w:szCs w:val="24"/>
        </w:rPr>
      </w:pPr>
    </w:p>
    <w:p w14:paraId="0000002E">
      <w:pPr>
        <w:pStyle w:val="3"/>
        <w:keepNext w:val="0"/>
        <w:keepLines w:val="0"/>
        <w:spacing w:after="80"/>
        <w:ind w:left="720" w:firstLine="0"/>
        <w:jc w:val="both"/>
        <w:rPr>
          <w:rFonts w:ascii="Times New Roman" w:hAnsi="Times New Roman" w:eastAsia="Times New Roman" w:cs="Times New Roman"/>
          <w:b/>
          <w:sz w:val="34"/>
          <w:szCs w:val="34"/>
        </w:rPr>
      </w:pPr>
      <w:bookmarkStart w:id="11" w:name="_hvyhm6mnqnq2" w:colFirst="0" w:colLast="0"/>
      <w:bookmarkEnd w:id="11"/>
      <w:r>
        <w:rPr>
          <w:rFonts w:ascii="Times New Roman" w:hAnsi="Times New Roman" w:eastAsia="Times New Roman" w:cs="Times New Roman"/>
          <w:b/>
          <w:sz w:val="34"/>
          <w:szCs w:val="34"/>
          <w:rtl w:val="0"/>
        </w:rPr>
        <w:t>Table 1: Seasonal Variation in Pollutant Levels (μg/m³)</w:t>
      </w:r>
    </w:p>
    <w:p w14:paraId="0000002F">
      <w:pPr>
        <w:spacing w:before="240" w:after="240"/>
        <w:ind w:left="600" w:right="600" w:firstLine="0"/>
        <w:jc w:val="both"/>
        <w:rPr>
          <w:rFonts w:ascii="Times New Roman" w:hAnsi="Times New Roman" w:eastAsia="Times New Roman" w:cs="Times New Roman"/>
          <w:sz w:val="20"/>
          <w:szCs w:val="20"/>
        </w:rPr>
      </w:pPr>
    </w:p>
    <w:tbl>
      <w:tblPr>
        <w:tblStyle w:val="13"/>
        <w:tblW w:w="901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15"/>
        <w:gridCol w:w="1800"/>
        <w:gridCol w:w="1860"/>
        <w:gridCol w:w="1725"/>
        <w:gridCol w:w="1815"/>
      </w:tblGrid>
      <w:tr w14:paraId="5677F8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2" w:hRule="atLeast"/>
        </w:trPr>
        <w:tc>
          <w:tcPr>
            <w:tcBorders>
              <w:top w:val="nil"/>
              <w:left w:val="nil"/>
              <w:bottom w:val="nil"/>
              <w:right w:val="nil"/>
            </w:tcBorders>
            <w:tcMar>
              <w:top w:w="100" w:type="dxa"/>
              <w:left w:w="100" w:type="dxa"/>
              <w:bottom w:w="100" w:type="dxa"/>
              <w:right w:w="100" w:type="dxa"/>
            </w:tcMar>
            <w:vAlign w:val="top"/>
          </w:tcPr>
          <w:p w14:paraId="00000030">
            <w:pPr>
              <w:spacing w:before="240" w:after="240"/>
              <w:ind w:left="72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Pollutant </w:t>
            </w:r>
          </w:p>
        </w:tc>
        <w:tc>
          <w:tcPr>
            <w:tcBorders>
              <w:top w:val="nil"/>
              <w:left w:val="nil"/>
              <w:bottom w:val="nil"/>
              <w:right w:val="nil"/>
            </w:tcBorders>
            <w:tcMar>
              <w:top w:w="100" w:type="dxa"/>
              <w:left w:w="100" w:type="dxa"/>
              <w:bottom w:w="100" w:type="dxa"/>
              <w:right w:w="100" w:type="dxa"/>
            </w:tcMar>
            <w:vAlign w:val="top"/>
          </w:tcPr>
          <w:p w14:paraId="00000031">
            <w:pPr>
              <w:spacing w:before="240" w:after="240"/>
              <w:ind w:left="72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Summer </w:t>
            </w:r>
          </w:p>
        </w:tc>
        <w:tc>
          <w:tcPr>
            <w:tcBorders>
              <w:top w:val="nil"/>
              <w:left w:val="nil"/>
              <w:bottom w:val="nil"/>
              <w:right w:val="nil"/>
            </w:tcBorders>
            <w:tcMar>
              <w:top w:w="100" w:type="dxa"/>
              <w:left w:w="100" w:type="dxa"/>
              <w:bottom w:w="100" w:type="dxa"/>
              <w:right w:w="100" w:type="dxa"/>
            </w:tcMar>
            <w:vAlign w:val="top"/>
          </w:tcPr>
          <w:p w14:paraId="00000032">
            <w:pPr>
              <w:spacing w:before="240" w:after="240"/>
              <w:ind w:left="72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Autumn </w:t>
            </w:r>
          </w:p>
        </w:tc>
        <w:tc>
          <w:tcPr>
            <w:tcBorders>
              <w:top w:val="nil"/>
              <w:left w:val="nil"/>
              <w:bottom w:val="nil"/>
              <w:right w:val="nil"/>
            </w:tcBorders>
            <w:tcMar>
              <w:top w:w="100" w:type="dxa"/>
              <w:left w:w="100" w:type="dxa"/>
              <w:bottom w:w="100" w:type="dxa"/>
              <w:right w:w="100" w:type="dxa"/>
            </w:tcMar>
            <w:vAlign w:val="top"/>
          </w:tcPr>
          <w:p w14:paraId="00000033">
            <w:pPr>
              <w:spacing w:before="240" w:after="240"/>
              <w:ind w:left="72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Winter </w:t>
            </w:r>
          </w:p>
        </w:tc>
        <w:tc>
          <w:tcPr>
            <w:tcBorders>
              <w:top w:val="nil"/>
              <w:left w:val="nil"/>
              <w:bottom w:val="nil"/>
              <w:right w:val="nil"/>
            </w:tcBorders>
            <w:tcMar>
              <w:top w:w="100" w:type="dxa"/>
              <w:left w:w="100" w:type="dxa"/>
              <w:bottom w:w="100" w:type="dxa"/>
              <w:right w:w="100" w:type="dxa"/>
            </w:tcMar>
            <w:vAlign w:val="top"/>
          </w:tcPr>
          <w:p w14:paraId="00000034">
            <w:pPr>
              <w:spacing w:before="240" w:after="240"/>
              <w:ind w:left="72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Spring </w:t>
            </w:r>
          </w:p>
        </w:tc>
      </w:tr>
      <w:tr w14:paraId="0825B0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97" w:hRule="atLeast"/>
        </w:trPr>
        <w:tc>
          <w:tcPr>
            <w:tcBorders>
              <w:top w:val="nil"/>
              <w:left w:val="nil"/>
              <w:bottom w:val="nil"/>
              <w:right w:val="nil"/>
            </w:tcBorders>
            <w:tcMar>
              <w:top w:w="100" w:type="dxa"/>
              <w:left w:w="100" w:type="dxa"/>
              <w:bottom w:w="100" w:type="dxa"/>
              <w:right w:w="100" w:type="dxa"/>
            </w:tcMar>
            <w:vAlign w:val="top"/>
          </w:tcPr>
          <w:p w14:paraId="00000035">
            <w:pPr>
              <w:spacing w:before="240" w:after="240"/>
              <w:ind w:left="72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 PM2.5 </w:t>
            </w:r>
          </w:p>
        </w:tc>
        <w:tc>
          <w:tcPr>
            <w:tcBorders>
              <w:top w:val="nil"/>
              <w:left w:val="nil"/>
              <w:bottom w:val="nil"/>
              <w:right w:val="nil"/>
            </w:tcBorders>
            <w:tcMar>
              <w:top w:w="100" w:type="dxa"/>
              <w:left w:w="100" w:type="dxa"/>
              <w:bottom w:w="100" w:type="dxa"/>
              <w:right w:w="100" w:type="dxa"/>
            </w:tcMar>
            <w:vAlign w:val="top"/>
          </w:tcPr>
          <w:p w14:paraId="00000036">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24</w:t>
            </w:r>
          </w:p>
        </w:tc>
        <w:tc>
          <w:tcPr>
            <w:tcBorders>
              <w:top w:val="nil"/>
              <w:left w:val="nil"/>
              <w:bottom w:val="nil"/>
              <w:right w:val="nil"/>
            </w:tcBorders>
            <w:tcMar>
              <w:top w:w="100" w:type="dxa"/>
              <w:left w:w="100" w:type="dxa"/>
              <w:bottom w:w="100" w:type="dxa"/>
              <w:right w:w="100" w:type="dxa"/>
            </w:tcMar>
            <w:vAlign w:val="top"/>
          </w:tcPr>
          <w:p w14:paraId="00000037">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30</w:t>
            </w:r>
          </w:p>
        </w:tc>
        <w:tc>
          <w:tcPr>
            <w:tcBorders>
              <w:top w:val="nil"/>
              <w:left w:val="nil"/>
              <w:bottom w:val="nil"/>
              <w:right w:val="nil"/>
            </w:tcBorders>
            <w:tcMar>
              <w:top w:w="100" w:type="dxa"/>
              <w:left w:w="100" w:type="dxa"/>
              <w:bottom w:w="100" w:type="dxa"/>
              <w:right w:w="100" w:type="dxa"/>
            </w:tcMar>
            <w:vAlign w:val="top"/>
          </w:tcPr>
          <w:p w14:paraId="00000038">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47</w:t>
            </w:r>
          </w:p>
        </w:tc>
        <w:tc>
          <w:tcPr>
            <w:tcBorders>
              <w:top w:val="nil"/>
              <w:left w:val="nil"/>
              <w:bottom w:val="nil"/>
              <w:right w:val="nil"/>
            </w:tcBorders>
            <w:tcMar>
              <w:top w:w="100" w:type="dxa"/>
              <w:left w:w="100" w:type="dxa"/>
              <w:bottom w:w="100" w:type="dxa"/>
              <w:right w:w="100" w:type="dxa"/>
            </w:tcMar>
            <w:vAlign w:val="top"/>
          </w:tcPr>
          <w:p w14:paraId="00000039">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29</w:t>
            </w:r>
          </w:p>
        </w:tc>
      </w:tr>
      <w:tr w14:paraId="0DE12C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37" w:hRule="atLeast"/>
        </w:trPr>
        <w:tc>
          <w:tcPr>
            <w:tcBorders>
              <w:top w:val="nil"/>
              <w:left w:val="nil"/>
              <w:bottom w:val="nil"/>
              <w:right w:val="nil"/>
            </w:tcBorders>
            <w:tcMar>
              <w:top w:w="100" w:type="dxa"/>
              <w:left w:w="100" w:type="dxa"/>
              <w:bottom w:w="100" w:type="dxa"/>
              <w:right w:w="100" w:type="dxa"/>
            </w:tcMar>
            <w:vAlign w:val="top"/>
          </w:tcPr>
          <w:p w14:paraId="0000003A">
            <w:pPr>
              <w:spacing w:before="240" w:after="240"/>
              <w:ind w:left="72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PM10 </w:t>
            </w:r>
          </w:p>
        </w:tc>
        <w:tc>
          <w:tcPr>
            <w:tcBorders>
              <w:top w:val="nil"/>
              <w:left w:val="nil"/>
              <w:bottom w:val="nil"/>
              <w:right w:val="nil"/>
            </w:tcBorders>
            <w:tcMar>
              <w:top w:w="100" w:type="dxa"/>
              <w:left w:w="100" w:type="dxa"/>
              <w:bottom w:w="100" w:type="dxa"/>
              <w:right w:w="100" w:type="dxa"/>
            </w:tcMar>
            <w:vAlign w:val="top"/>
          </w:tcPr>
          <w:p w14:paraId="0000003B">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35</w:t>
            </w:r>
          </w:p>
        </w:tc>
        <w:tc>
          <w:tcPr>
            <w:tcBorders>
              <w:top w:val="nil"/>
              <w:left w:val="nil"/>
              <w:bottom w:val="nil"/>
              <w:right w:val="nil"/>
            </w:tcBorders>
            <w:tcMar>
              <w:top w:w="100" w:type="dxa"/>
              <w:left w:w="100" w:type="dxa"/>
              <w:bottom w:w="100" w:type="dxa"/>
              <w:right w:w="100" w:type="dxa"/>
            </w:tcMar>
            <w:vAlign w:val="top"/>
          </w:tcPr>
          <w:p w14:paraId="0000003C">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40</w:t>
            </w:r>
          </w:p>
        </w:tc>
        <w:tc>
          <w:tcPr>
            <w:tcBorders>
              <w:top w:val="nil"/>
              <w:left w:val="nil"/>
              <w:bottom w:val="nil"/>
              <w:right w:val="nil"/>
            </w:tcBorders>
            <w:tcMar>
              <w:top w:w="100" w:type="dxa"/>
              <w:left w:w="100" w:type="dxa"/>
              <w:bottom w:w="100" w:type="dxa"/>
              <w:right w:w="100" w:type="dxa"/>
            </w:tcMar>
            <w:vAlign w:val="top"/>
          </w:tcPr>
          <w:p w14:paraId="0000003D">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60</w:t>
            </w:r>
          </w:p>
        </w:tc>
        <w:tc>
          <w:tcPr>
            <w:tcBorders>
              <w:top w:val="nil"/>
              <w:left w:val="nil"/>
              <w:bottom w:val="nil"/>
              <w:right w:val="nil"/>
            </w:tcBorders>
            <w:tcMar>
              <w:top w:w="100" w:type="dxa"/>
              <w:left w:w="100" w:type="dxa"/>
              <w:bottom w:w="100" w:type="dxa"/>
              <w:right w:w="100" w:type="dxa"/>
            </w:tcMar>
            <w:vAlign w:val="top"/>
          </w:tcPr>
          <w:p w14:paraId="0000003E">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38</w:t>
            </w:r>
          </w:p>
        </w:tc>
      </w:tr>
      <w:tr w14:paraId="246883F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nil"/>
              <w:left w:val="nil"/>
              <w:bottom w:val="nil"/>
              <w:right w:val="nil"/>
            </w:tcBorders>
            <w:tcMar>
              <w:top w:w="100" w:type="dxa"/>
              <w:left w:w="100" w:type="dxa"/>
              <w:bottom w:w="100" w:type="dxa"/>
              <w:right w:w="100" w:type="dxa"/>
            </w:tcMar>
            <w:vAlign w:val="top"/>
          </w:tcPr>
          <w:p w14:paraId="0000003F">
            <w:pPr>
              <w:spacing w:before="240" w:after="240"/>
              <w:ind w:left="72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NO2 </w:t>
            </w:r>
          </w:p>
        </w:tc>
        <w:tc>
          <w:tcPr>
            <w:tcBorders>
              <w:top w:val="nil"/>
              <w:left w:val="nil"/>
              <w:bottom w:val="nil"/>
              <w:right w:val="nil"/>
            </w:tcBorders>
            <w:tcMar>
              <w:top w:w="100" w:type="dxa"/>
              <w:left w:w="100" w:type="dxa"/>
              <w:bottom w:w="100" w:type="dxa"/>
              <w:right w:w="100" w:type="dxa"/>
            </w:tcMar>
            <w:vAlign w:val="top"/>
          </w:tcPr>
          <w:p w14:paraId="00000040">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22</w:t>
            </w:r>
          </w:p>
        </w:tc>
        <w:tc>
          <w:tcPr>
            <w:tcBorders>
              <w:top w:val="nil"/>
              <w:left w:val="nil"/>
              <w:bottom w:val="nil"/>
              <w:right w:val="nil"/>
            </w:tcBorders>
            <w:tcMar>
              <w:top w:w="100" w:type="dxa"/>
              <w:left w:w="100" w:type="dxa"/>
              <w:bottom w:w="100" w:type="dxa"/>
              <w:right w:w="100" w:type="dxa"/>
            </w:tcMar>
            <w:vAlign w:val="top"/>
          </w:tcPr>
          <w:p w14:paraId="00000041">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28</w:t>
            </w:r>
          </w:p>
        </w:tc>
        <w:tc>
          <w:tcPr>
            <w:tcBorders>
              <w:top w:val="nil"/>
              <w:left w:val="nil"/>
              <w:bottom w:val="nil"/>
              <w:right w:val="nil"/>
            </w:tcBorders>
            <w:tcMar>
              <w:top w:w="100" w:type="dxa"/>
              <w:left w:w="100" w:type="dxa"/>
              <w:bottom w:w="100" w:type="dxa"/>
              <w:right w:w="100" w:type="dxa"/>
            </w:tcMar>
            <w:vAlign w:val="top"/>
          </w:tcPr>
          <w:p w14:paraId="00000042">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52</w:t>
            </w:r>
          </w:p>
        </w:tc>
        <w:tc>
          <w:tcPr>
            <w:tcBorders>
              <w:top w:val="nil"/>
              <w:left w:val="nil"/>
              <w:bottom w:val="nil"/>
              <w:right w:val="nil"/>
            </w:tcBorders>
            <w:tcMar>
              <w:top w:w="100" w:type="dxa"/>
              <w:left w:w="100" w:type="dxa"/>
              <w:bottom w:w="100" w:type="dxa"/>
              <w:right w:w="100" w:type="dxa"/>
            </w:tcMar>
            <w:vAlign w:val="top"/>
          </w:tcPr>
          <w:p w14:paraId="00000043">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26</w:t>
            </w:r>
          </w:p>
        </w:tc>
      </w:tr>
      <w:tr w14:paraId="4372FE3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85" w:hRule="atLeast"/>
        </w:trPr>
        <w:tc>
          <w:tcPr>
            <w:tcBorders>
              <w:top w:val="nil"/>
              <w:left w:val="nil"/>
              <w:bottom w:val="nil"/>
              <w:right w:val="nil"/>
            </w:tcBorders>
            <w:tcMar>
              <w:top w:w="100" w:type="dxa"/>
              <w:left w:w="100" w:type="dxa"/>
              <w:bottom w:w="100" w:type="dxa"/>
              <w:right w:w="100" w:type="dxa"/>
            </w:tcMar>
            <w:vAlign w:val="top"/>
          </w:tcPr>
          <w:p w14:paraId="00000044">
            <w:pPr>
              <w:spacing w:before="240" w:after="240"/>
              <w:ind w:left="720"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O3</w:t>
            </w:r>
          </w:p>
        </w:tc>
        <w:tc>
          <w:tcPr>
            <w:tcBorders>
              <w:top w:val="nil"/>
              <w:left w:val="nil"/>
              <w:bottom w:val="nil"/>
              <w:right w:val="nil"/>
            </w:tcBorders>
            <w:tcMar>
              <w:top w:w="100" w:type="dxa"/>
              <w:left w:w="100" w:type="dxa"/>
              <w:bottom w:w="100" w:type="dxa"/>
              <w:right w:w="100" w:type="dxa"/>
            </w:tcMar>
            <w:vAlign w:val="top"/>
          </w:tcPr>
          <w:p w14:paraId="00000045">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18</w:t>
            </w:r>
          </w:p>
        </w:tc>
        <w:tc>
          <w:tcPr>
            <w:tcBorders>
              <w:top w:val="nil"/>
              <w:left w:val="nil"/>
              <w:bottom w:val="nil"/>
              <w:right w:val="nil"/>
            </w:tcBorders>
            <w:tcMar>
              <w:top w:w="100" w:type="dxa"/>
              <w:left w:w="100" w:type="dxa"/>
              <w:bottom w:w="100" w:type="dxa"/>
              <w:right w:w="100" w:type="dxa"/>
            </w:tcMar>
            <w:vAlign w:val="top"/>
          </w:tcPr>
          <w:p w14:paraId="00000046">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22</w:t>
            </w:r>
          </w:p>
        </w:tc>
        <w:tc>
          <w:tcPr>
            <w:tcBorders>
              <w:top w:val="nil"/>
              <w:left w:val="nil"/>
              <w:bottom w:val="nil"/>
              <w:right w:val="nil"/>
            </w:tcBorders>
            <w:tcMar>
              <w:top w:w="100" w:type="dxa"/>
              <w:left w:w="100" w:type="dxa"/>
              <w:bottom w:w="100" w:type="dxa"/>
              <w:right w:w="100" w:type="dxa"/>
            </w:tcMar>
            <w:vAlign w:val="top"/>
          </w:tcPr>
          <w:p w14:paraId="00000047">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33</w:t>
            </w:r>
          </w:p>
        </w:tc>
        <w:tc>
          <w:tcPr>
            <w:tcBorders>
              <w:top w:val="nil"/>
              <w:left w:val="nil"/>
              <w:bottom w:val="nil"/>
              <w:right w:val="nil"/>
            </w:tcBorders>
            <w:tcMar>
              <w:top w:w="100" w:type="dxa"/>
              <w:left w:w="100" w:type="dxa"/>
              <w:bottom w:w="100" w:type="dxa"/>
              <w:right w:w="100" w:type="dxa"/>
            </w:tcMar>
            <w:vAlign w:val="top"/>
          </w:tcPr>
          <w:p w14:paraId="00000048">
            <w:pPr>
              <w:spacing w:before="240" w:after="2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20</w:t>
            </w:r>
          </w:p>
        </w:tc>
      </w:tr>
    </w:tbl>
    <w:p w14:paraId="00000049">
      <w:pPr>
        <w:spacing w:before="240" w:after="240"/>
        <w:ind w:left="720" w:firstLine="0"/>
        <w:jc w:val="both"/>
        <w:rPr>
          <w:rFonts w:ascii="Times New Roman" w:hAnsi="Times New Roman" w:eastAsia="Times New Roman" w:cs="Times New Roman"/>
          <w:sz w:val="24"/>
          <w:szCs w:val="24"/>
        </w:rPr>
      </w:pPr>
    </w:p>
    <w:p w14:paraId="0000004A">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Table 1</w:t>
      </w:r>
      <w:r>
        <w:rPr>
          <w:rFonts w:ascii="Times New Roman" w:hAnsi="Times New Roman" w:eastAsia="Times New Roman" w:cs="Times New Roman"/>
          <w:sz w:val="24"/>
          <w:szCs w:val="24"/>
          <w:rtl w:val="0"/>
        </w:rPr>
        <w:t xml:space="preserve"> – Seasonal variation in average pollutant concentrations across all studied cities.</w:t>
      </w:r>
    </w:p>
    <w:p w14:paraId="0000004B">
      <w:pPr>
        <w:spacing w:before="240" w:after="240"/>
        <w:ind w:left="720" w:firstLine="0"/>
        <w:jc w:val="both"/>
        <w:rPr>
          <w:rFonts w:ascii="Times New Roman" w:hAnsi="Times New Roman" w:eastAsia="Times New Roman" w:cs="Times New Roman"/>
          <w:sz w:val="24"/>
          <w:szCs w:val="24"/>
        </w:rPr>
      </w:pPr>
    </w:p>
    <w:p w14:paraId="0000004C">
      <w:pPr>
        <w:pStyle w:val="2"/>
        <w:keepNext w:val="0"/>
        <w:keepLines w:val="0"/>
        <w:spacing w:after="80"/>
        <w:ind w:left="720" w:firstLine="0"/>
        <w:jc w:val="both"/>
        <w:rPr>
          <w:rFonts w:ascii="Times New Roman" w:hAnsi="Times New Roman" w:eastAsia="Times New Roman" w:cs="Times New Roman"/>
          <w:sz w:val="32"/>
          <w:szCs w:val="32"/>
        </w:rPr>
      </w:pPr>
      <w:bookmarkStart w:id="12" w:name="_uk32aslls3wk" w:colFirst="0" w:colLast="0"/>
      <w:bookmarkEnd w:id="12"/>
      <w:r>
        <w:rPr>
          <w:rFonts w:ascii="Times New Roman" w:hAnsi="Times New Roman" w:eastAsia="Times New Roman" w:cs="Times New Roman"/>
          <w:sz w:val="32"/>
          <w:szCs w:val="32"/>
          <w:rtl w:val="0"/>
        </w:rPr>
        <w:t>Methods</w:t>
      </w:r>
    </w:p>
    <w:p w14:paraId="0000004D">
      <w:pPr>
        <w:pStyle w:val="3"/>
        <w:keepNext w:val="0"/>
        <w:keepLines w:val="0"/>
        <w:spacing w:before="280"/>
        <w:jc w:val="both"/>
        <w:rPr>
          <w:rFonts w:ascii="Times New Roman" w:hAnsi="Times New Roman" w:eastAsia="Times New Roman" w:cs="Times New Roman"/>
          <w:sz w:val="28"/>
          <w:szCs w:val="28"/>
        </w:rPr>
      </w:pPr>
      <w:bookmarkStart w:id="13" w:name="_v3zamlaljuiv" w:colFirst="0" w:colLast="0"/>
      <w:bookmarkEnd w:id="13"/>
      <w:r>
        <w:rPr>
          <w:rFonts w:ascii="Times New Roman" w:hAnsi="Times New Roman" w:eastAsia="Times New Roman" w:cs="Times New Roman"/>
          <w:sz w:val="28"/>
          <w:szCs w:val="28"/>
          <w:rtl w:val="0"/>
        </w:rPr>
        <w:t>3.1 Study Sites</w:t>
      </w:r>
    </w:p>
    <w:p w14:paraId="0000004E">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The selected cities (referred to as City A, B, and C) are located in the southeastern region of Brazil. Each city has a population between 200,000 and 500,000 and distinct economic activities ranging from manufacturing to services [2].</w:t>
      </w:r>
    </w:p>
    <w:p w14:paraId="0000004F">
      <w:pPr>
        <w:pStyle w:val="3"/>
        <w:keepNext w:val="0"/>
        <w:keepLines w:val="0"/>
        <w:spacing w:before="280"/>
        <w:jc w:val="both"/>
        <w:rPr>
          <w:rFonts w:ascii="Times New Roman" w:hAnsi="Times New Roman" w:eastAsia="Times New Roman" w:cs="Times New Roman"/>
          <w:sz w:val="28"/>
          <w:szCs w:val="28"/>
        </w:rPr>
      </w:pPr>
      <w:bookmarkStart w:id="14" w:name="_s4dxq4gy8z7s" w:colFirst="0" w:colLast="0"/>
      <w:bookmarkEnd w:id="14"/>
      <w:r>
        <w:rPr>
          <w:rFonts w:ascii="Times New Roman" w:hAnsi="Times New Roman" w:eastAsia="Times New Roman" w:cs="Times New Roman"/>
          <w:sz w:val="28"/>
          <w:szCs w:val="28"/>
          <w:rtl w:val="0"/>
        </w:rPr>
        <w:t>3.2 Data Collection</w:t>
      </w:r>
    </w:p>
    <w:p w14:paraId="00000050">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Air quality data were obtained from government-run automatic monitoring stations. Data included:</w:t>
      </w:r>
    </w:p>
    <w:p w14:paraId="00000051">
      <w:pPr>
        <w:numPr>
          <w:ilvl w:val="0"/>
          <w:numId w:val="3"/>
        </w:numPr>
        <w:spacing w:before="24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PM10 and PM2.5 (gravimetric and beta attenuation methods)</w:t>
      </w:r>
      <w:r>
        <w:rPr>
          <w:rFonts w:ascii="Times New Roman" w:hAnsi="Times New Roman" w:eastAsia="Times New Roman" w:cs="Times New Roman"/>
          <w:sz w:val="24"/>
          <w:szCs w:val="24"/>
          <w:rtl w:val="0"/>
        </w:rPr>
        <w:br w:type="textWrapping"/>
      </w:r>
    </w:p>
    <w:p w14:paraId="00000052">
      <w:pPr>
        <w:numPr>
          <w:ilvl w:val="0"/>
          <w:numId w:val="3"/>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SO₂ and NO₂ (UV fluorescence and chemiluminescence)</w:t>
      </w:r>
      <w:r>
        <w:rPr>
          <w:rFonts w:ascii="Times New Roman" w:hAnsi="Times New Roman" w:eastAsia="Times New Roman" w:cs="Times New Roman"/>
          <w:sz w:val="24"/>
          <w:szCs w:val="24"/>
          <w:rtl w:val="0"/>
        </w:rPr>
        <w:br w:type="textWrapping"/>
      </w:r>
    </w:p>
    <w:p w14:paraId="00000053">
      <w:pPr>
        <w:numPr>
          <w:ilvl w:val="0"/>
          <w:numId w:val="3"/>
        </w:numPr>
        <w:spacing w:before="0" w:beforeAutospacing="0" w:after="24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O₃ (UV photometry)</w:t>
      </w:r>
      <w:r>
        <w:rPr>
          <w:rFonts w:ascii="Times New Roman" w:hAnsi="Times New Roman" w:eastAsia="Times New Roman" w:cs="Times New Roman"/>
          <w:sz w:val="24"/>
          <w:szCs w:val="24"/>
          <w:rtl w:val="0"/>
        </w:rPr>
        <w:br w:type="textWrapping"/>
      </w:r>
    </w:p>
    <w:p w14:paraId="00000054">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Meteorological data were sourced from local meteorological institutes, providing temperature, humidity, wind direction/speed, and precipitation records [1].</w:t>
      </w:r>
    </w:p>
    <w:p w14:paraId="00000055">
      <w:pPr>
        <w:pStyle w:val="3"/>
        <w:keepNext w:val="0"/>
        <w:keepLines w:val="0"/>
        <w:spacing w:before="280"/>
        <w:jc w:val="both"/>
        <w:rPr>
          <w:rFonts w:ascii="Times New Roman" w:hAnsi="Times New Roman" w:eastAsia="Times New Roman" w:cs="Times New Roman"/>
          <w:sz w:val="28"/>
          <w:szCs w:val="28"/>
        </w:rPr>
      </w:pPr>
      <w:bookmarkStart w:id="15" w:name="_r1h4y6h4y23k" w:colFirst="0" w:colLast="0"/>
      <w:bookmarkEnd w:id="15"/>
      <w:r>
        <w:rPr>
          <w:rFonts w:ascii="Times New Roman" w:hAnsi="Times New Roman" w:eastAsia="Times New Roman" w:cs="Times New Roman"/>
          <w:sz w:val="28"/>
          <w:szCs w:val="28"/>
          <w:rtl w:val="0"/>
        </w:rPr>
        <w:t>3.3 Statistical Analysis</w:t>
      </w:r>
    </w:p>
    <w:p w14:paraId="00000056">
      <w:pPr>
        <w:spacing w:before="240" w:after="24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Statistical analyses were performed using </w:t>
      </w:r>
      <w:r>
        <w:rPr>
          <w:rFonts w:ascii="Times New Roman" w:hAnsi="Times New Roman" w:eastAsia="Times New Roman" w:cs="Times New Roman"/>
          <w:b/>
          <w:sz w:val="24"/>
          <w:szCs w:val="24"/>
          <w:rtl w:val="0"/>
        </w:rPr>
        <w:t>R software</w:t>
      </w:r>
      <w:r>
        <w:rPr>
          <w:rFonts w:ascii="Times New Roman" w:hAnsi="Times New Roman" w:eastAsia="Times New Roman" w:cs="Times New Roman"/>
          <w:sz w:val="24"/>
          <w:szCs w:val="24"/>
          <w:rtl w:val="0"/>
        </w:rPr>
        <w:t>. Tools included:</w:t>
      </w:r>
    </w:p>
    <w:p w14:paraId="00000057">
      <w:pPr>
        <w:numPr>
          <w:ilvl w:val="0"/>
          <w:numId w:val="4"/>
        </w:numPr>
        <w:spacing w:before="24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Pearson correlation</w:t>
      </w:r>
      <w:r>
        <w:rPr>
          <w:rFonts w:ascii="Times New Roman" w:hAnsi="Times New Roman" w:eastAsia="Times New Roman" w:cs="Times New Roman"/>
          <w:sz w:val="24"/>
          <w:szCs w:val="24"/>
          <w:rtl w:val="0"/>
        </w:rPr>
        <w:t xml:space="preserve"> to evaluate relationships among variables.</w:t>
      </w:r>
      <w:r>
        <w:rPr>
          <w:rFonts w:ascii="Times New Roman" w:hAnsi="Times New Roman" w:eastAsia="Times New Roman" w:cs="Times New Roman"/>
          <w:sz w:val="24"/>
          <w:szCs w:val="24"/>
          <w:rtl w:val="0"/>
        </w:rPr>
        <w:br w:type="textWrapping"/>
      </w:r>
    </w:p>
    <w:p w14:paraId="00000058">
      <w:pPr>
        <w:numPr>
          <w:ilvl w:val="0"/>
          <w:numId w:val="4"/>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ANOVA</w:t>
      </w:r>
      <w:r>
        <w:rPr>
          <w:rFonts w:ascii="Times New Roman" w:hAnsi="Times New Roman" w:eastAsia="Times New Roman" w:cs="Times New Roman"/>
          <w:sz w:val="24"/>
          <w:szCs w:val="24"/>
          <w:rtl w:val="0"/>
        </w:rPr>
        <w:t xml:space="preserve"> to assess pollutant variation across seasons and cities.</w:t>
      </w:r>
      <w:r>
        <w:rPr>
          <w:rFonts w:ascii="Times New Roman" w:hAnsi="Times New Roman" w:eastAsia="Times New Roman" w:cs="Times New Roman"/>
          <w:sz w:val="24"/>
          <w:szCs w:val="24"/>
          <w:rtl w:val="0"/>
        </w:rPr>
        <w:br w:type="textWrapping"/>
      </w:r>
    </w:p>
    <w:p w14:paraId="00000059">
      <w:pPr>
        <w:numPr>
          <w:ilvl w:val="0"/>
          <w:numId w:val="4"/>
        </w:numPr>
        <w:spacing w:before="0" w:beforeAutospacing="0" w:after="240"/>
        <w:ind w:left="720" w:hanging="360"/>
        <w:rPr>
          <w:rFonts w:ascii="Times New Roman" w:hAnsi="Times New Roman" w:eastAsia="Times New Roman" w:cs="Times New Roman"/>
          <w:sz w:val="24"/>
          <w:szCs w:val="24"/>
        </w:rPr>
      </w:pPr>
      <w:r>
        <w:rPr>
          <w:rFonts w:ascii="Times New Roman" w:hAnsi="Times New Roman" w:eastAsia="Times New Roman" w:cs="Times New Roman"/>
          <w:b/>
          <w:sz w:val="24"/>
          <w:szCs w:val="24"/>
          <w:rtl w:val="0"/>
        </w:rPr>
        <w:t>Multiple linear regression</w:t>
      </w:r>
      <w:r>
        <w:rPr>
          <w:rFonts w:ascii="Times New Roman" w:hAnsi="Times New Roman" w:eastAsia="Times New Roman" w:cs="Times New Roman"/>
          <w:sz w:val="24"/>
          <w:szCs w:val="24"/>
          <w:rtl w:val="0"/>
        </w:rPr>
        <w:t xml:space="preserve"> to model pollutant concentrations based on meteorological conditions and emission patterns.</w:t>
      </w:r>
    </w:p>
    <w:p w14:paraId="0000005A">
      <w:pPr>
        <w:spacing w:before="240" w:after="240"/>
        <w:jc w:val="both"/>
        <w:rPr>
          <w:rFonts w:ascii="Times New Roman" w:hAnsi="Times New Roman" w:eastAsia="Times New Roman" w:cs="Times New Roman"/>
          <w:sz w:val="24"/>
          <w:szCs w:val="24"/>
        </w:rPr>
      </w:pPr>
    </w:p>
    <w:p w14:paraId="0000005B">
      <w:pPr>
        <w:spacing w:before="240" w:after="240"/>
        <w:ind w:left="720" w:firstLine="0"/>
        <w:jc w:val="both"/>
        <w:rPr>
          <w:rFonts w:ascii="Times New Roman" w:hAnsi="Times New Roman" w:eastAsia="Times New Roman" w:cs="Times New Roman"/>
          <w:sz w:val="24"/>
          <w:szCs w:val="24"/>
        </w:rPr>
      </w:pPr>
      <w:bookmarkStart w:id="17" w:name="_GoBack"/>
      <w:bookmarkEnd w:id="17"/>
    </w:p>
    <w:p w14:paraId="0000005C">
      <w:pPr>
        <w:pStyle w:val="2"/>
        <w:keepNext w:val="0"/>
        <w:keepLines w:val="0"/>
        <w:spacing w:after="80"/>
        <w:ind w:left="720" w:firstLine="0"/>
        <w:jc w:val="both"/>
        <w:rPr>
          <w:rFonts w:ascii="Times New Roman" w:hAnsi="Times New Roman" w:eastAsia="Times New Roman" w:cs="Times New Roman"/>
          <w:sz w:val="32"/>
          <w:szCs w:val="32"/>
        </w:rPr>
      </w:pPr>
      <w:bookmarkStart w:id="16" w:name="_6dd8y75ygzjk" w:colFirst="0" w:colLast="0"/>
      <w:bookmarkEnd w:id="16"/>
      <w:r>
        <w:rPr>
          <w:rFonts w:ascii="Times New Roman" w:hAnsi="Times New Roman" w:eastAsia="Times New Roman" w:cs="Times New Roman"/>
          <w:sz w:val="32"/>
          <w:szCs w:val="32"/>
          <w:rtl w:val="0"/>
        </w:rPr>
        <w:t>References</w:t>
      </w:r>
    </w:p>
    <w:p w14:paraId="0000005D">
      <w:pPr>
        <w:numPr>
          <w:ilvl w:val="0"/>
          <w:numId w:val="5"/>
        </w:numPr>
        <w:spacing w:before="24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World Health Organization. </w:t>
      </w:r>
      <w:r>
        <w:rPr>
          <w:rFonts w:ascii="Times New Roman" w:hAnsi="Times New Roman" w:eastAsia="Times New Roman" w:cs="Times New Roman"/>
          <w:i/>
          <w:sz w:val="24"/>
          <w:szCs w:val="24"/>
          <w:rtl w:val="0"/>
        </w:rPr>
        <w:t>Air quality guidelines for particulate matter, ozone, nitrogen dioxide and sulfur dioxide</w:t>
      </w:r>
      <w:r>
        <w:rPr>
          <w:rFonts w:ascii="Times New Roman" w:hAnsi="Times New Roman" w:eastAsia="Times New Roman" w:cs="Times New Roman"/>
          <w:sz w:val="24"/>
          <w:szCs w:val="24"/>
          <w:rtl w:val="0"/>
        </w:rPr>
        <w:t>. Geneva: WHO; 2021.</w:t>
      </w:r>
      <w:r>
        <w:rPr>
          <w:rFonts w:ascii="Times New Roman" w:hAnsi="Times New Roman" w:eastAsia="Times New Roman" w:cs="Times New Roman"/>
          <w:sz w:val="24"/>
          <w:szCs w:val="24"/>
          <w:rtl w:val="0"/>
        </w:rPr>
        <w:br w:type="textWrapping"/>
      </w:r>
    </w:p>
    <w:p w14:paraId="0000005E">
      <w:pPr>
        <w:numPr>
          <w:ilvl w:val="0"/>
          <w:numId w:val="5"/>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CETESB - Environmental Company of the State of São Paulo. </w:t>
      </w:r>
      <w:r>
        <w:rPr>
          <w:rFonts w:ascii="Times New Roman" w:hAnsi="Times New Roman" w:eastAsia="Times New Roman" w:cs="Times New Roman"/>
          <w:i/>
          <w:sz w:val="24"/>
          <w:szCs w:val="24"/>
          <w:rtl w:val="0"/>
        </w:rPr>
        <w:t>Air quality report in the state of São Paulo 2023</w:t>
      </w:r>
      <w:r>
        <w:rPr>
          <w:rFonts w:ascii="Times New Roman" w:hAnsi="Times New Roman" w:eastAsia="Times New Roman" w:cs="Times New Roman"/>
          <w:sz w:val="24"/>
          <w:szCs w:val="24"/>
          <w:rtl w:val="0"/>
        </w:rPr>
        <w:t>. São Paulo: CETESB; 2024.</w:t>
      </w:r>
      <w:r>
        <w:rPr>
          <w:rFonts w:ascii="Times New Roman" w:hAnsi="Times New Roman" w:eastAsia="Times New Roman" w:cs="Times New Roman"/>
          <w:sz w:val="24"/>
          <w:szCs w:val="24"/>
          <w:rtl w:val="0"/>
        </w:rPr>
        <w:br w:type="textWrapping"/>
      </w:r>
    </w:p>
    <w:p w14:paraId="0000005F">
      <w:pPr>
        <w:numPr>
          <w:ilvl w:val="0"/>
          <w:numId w:val="5"/>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Braga, A. L. F. et al. </w:t>
      </w:r>
      <w:r>
        <w:rPr>
          <w:rFonts w:ascii="Times New Roman" w:hAnsi="Times New Roman" w:eastAsia="Times New Roman" w:cs="Times New Roman"/>
          <w:i/>
          <w:sz w:val="24"/>
          <w:szCs w:val="24"/>
          <w:rtl w:val="0"/>
        </w:rPr>
        <w:t>Air pollution and health effects: an epidemiological approach</w:t>
      </w:r>
      <w:r>
        <w:rPr>
          <w:rFonts w:ascii="Times New Roman" w:hAnsi="Times New Roman" w:eastAsia="Times New Roman" w:cs="Times New Roman"/>
          <w:sz w:val="24"/>
          <w:szCs w:val="24"/>
          <w:rtl w:val="0"/>
        </w:rPr>
        <w:t>. São Paulo: Hucitec Publishing, 2019.</w:t>
      </w:r>
      <w:r>
        <w:rPr>
          <w:rFonts w:ascii="Times New Roman" w:hAnsi="Times New Roman" w:eastAsia="Times New Roman" w:cs="Times New Roman"/>
          <w:sz w:val="24"/>
          <w:szCs w:val="24"/>
          <w:rtl w:val="0"/>
        </w:rPr>
        <w:br w:type="textWrapping"/>
      </w:r>
    </w:p>
    <w:p w14:paraId="00000060">
      <w:pPr>
        <w:numPr>
          <w:ilvl w:val="0"/>
          <w:numId w:val="5"/>
        </w:numPr>
        <w:spacing w:before="0" w:beforeAutospacing="0" w:after="240"/>
        <w:ind w:left="720" w:hanging="36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Saldiva, P. H. N.; Lombardi, C. </w:t>
      </w:r>
      <w:r>
        <w:rPr>
          <w:rFonts w:ascii="Times New Roman" w:hAnsi="Times New Roman" w:eastAsia="Times New Roman" w:cs="Times New Roman"/>
          <w:i/>
          <w:sz w:val="24"/>
          <w:szCs w:val="24"/>
          <w:rtl w:val="0"/>
        </w:rPr>
        <w:t>Impacts of air pollution on health</w:t>
      </w:r>
      <w:r>
        <w:rPr>
          <w:rFonts w:ascii="Times New Roman" w:hAnsi="Times New Roman" w:eastAsia="Times New Roman" w:cs="Times New Roman"/>
          <w:sz w:val="24"/>
          <w:szCs w:val="24"/>
          <w:rtl w:val="0"/>
        </w:rPr>
        <w:t>. USP Journal, no. 114, pp. 65–78, 2022.</w:t>
      </w:r>
      <w:r>
        <w:rPr>
          <w:rFonts w:ascii="Times New Roman" w:hAnsi="Times New Roman" w:eastAsia="Times New Roman" w:cs="Times New Roman"/>
          <w:sz w:val="24"/>
          <w:szCs w:val="24"/>
          <w:rtl w:val="0"/>
        </w:rPr>
        <w:br w:type="textWrapping"/>
      </w:r>
    </w:p>
    <w:p w14:paraId="00000061">
      <w:pPr>
        <w:spacing w:before="240" w:after="240"/>
        <w:ind w:left="720" w:firstLine="0"/>
        <w:jc w:val="both"/>
        <w:rPr>
          <w:rFonts w:ascii="Times New Roman" w:hAnsi="Times New Roman" w:eastAsia="Times New Roman" w:cs="Times New Roman"/>
          <w:sz w:val="24"/>
          <w:szCs w:val="24"/>
        </w:rPr>
      </w:pPr>
    </w:p>
    <w:p w14:paraId="00000062">
      <w:pPr>
        <w:jc w:val="both"/>
        <w:rPr>
          <w:rFonts w:ascii="Times New Roman" w:hAnsi="Times New Roman" w:eastAsia="Times New Roman" w:cs="Times New Roman"/>
          <w:sz w:val="24"/>
          <w:szCs w:val="24"/>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C8879AEF"/>
    <w:multiLevelType w:val="multilevel"/>
    <w:tmpl w:val="C8879AE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2A8F537B"/>
    <w:multiLevelType w:val="multilevel"/>
    <w:tmpl w:val="2A8F537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4D4DC07F"/>
    <w:multiLevelType w:val="multilevel"/>
    <w:tmpl w:val="4D4DC07F"/>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4">
    <w:nsid w:val="5A241D34"/>
    <w:multiLevelType w:val="multilevel"/>
    <w:tmpl w:val="5A241D3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0"/>
  </w:num>
  <w:num w:numId="2">
    <w:abstractNumId w:val="2"/>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37263F3B"/>
    <w:rsid w:val="67A32E6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color w:val="666666"/>
      <w:sz w:val="22"/>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qFormat/>
    <w:uiPriority w:val="0"/>
    <w:pPr>
      <w:keepNext/>
      <w:keepLines/>
      <w:pageBreakBefore w:val="0"/>
      <w:spacing w:before="0" w:after="60"/>
    </w:pPr>
    <w:rPr>
      <w:sz w:val="52"/>
      <w:szCs w:val="52"/>
    </w:rPr>
  </w:style>
  <w:style w:type="table" w:customStyle="1" w:styleId="12">
    <w:name w:val="Table Normal1"/>
    <w:qFormat/>
    <w:uiPriority w:val="0"/>
  </w:style>
  <w:style w:type="table" w:customStyle="1" w:styleId="13">
    <w:name w:val="_Style 10"/>
    <w:basedOn w:val="12"/>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Pages>
  <TotalTime>12</TotalTime>
  <ScaleCrop>false</ScaleCrop>
  <LinksUpToDate>false</LinksUpToDate>
  <Application>WPS Office_12.2.0.21183_F1E327BC-269C-435d-A152-05C5408002CA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2025-05-09T01:06:00Z</dcterms:created>
  <dc:creator>leokb</dc:creator>
  <dcterms:modified xsi:type="dcterms:W3CDTF">2025-06-13T13:05:18Z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1033-12.2.0.21183</vt:lpwstr>
  </property>
  <property fmtid="{D5CDD505-2E9C-101B-9397-08002B2CF9AE}" pid="3" name="ICV">
    <vt:lpwstr>01889D9B1868433893B929B7B4C792CD_12</vt:lpwstr>
  </property>
</Properties>
</file>