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Sample Size and the Stability of a Simple Estimator: a worked example for authors preparing a manuscript</w:t>
      </w:r>
    </w:p>
    <w:p>
      <w:pPr>
        <w:pStyle w:val="Heading1"/>
      </w:pPr>
      <w:r>
        <w:t>ABSTRACT</w:t>
      </w:r>
    </w:p>
    <w:p>
      <w:pPr>
        <w:jc w:val="both"/>
      </w:pPr>
      <w:r>
        <w:rPr>
          <w:b w:val="0"/>
          <w:i w:val="0"/>
        </w:rPr>
        <w:t>This document is a template, and every sentence in it is illustrative text to be replaced. The abstract should state the question, what was done, what was found and what it means, in a single paragraph and without citations. In this worked example we draw repeated samples of increasing size from a fixed population and record how much the sample mean moves between draws. Spread falls as sample size grows, closely following the square root of the sample size, and the gain from each additional observation becomes small beyond a few hundred. The example carries no disciplinary content on purpose: it exists to show the structure, the numbering of tables and figures, and the citation style expected in a submission.</w:t>
      </w:r>
    </w:p>
    <w:p>
      <w:pPr>
        <w:spacing w:before="80" w:after="200"/>
      </w:pPr>
      <w:r>
        <w:rPr>
          <w:b w:val="0"/>
          <w:i w:val="0"/>
        </w:rPr>
        <w:t>Keywords: worked example, sample size, estimator stability, template, illustrative data</w:t>
      </w:r>
    </w:p>
    <w:p>
      <w:pPr>
        <w:spacing w:after="160"/>
      </w:pPr>
      <w:r>
        <w:rPr>
          <w:rFonts w:ascii="Arial" w:hAnsi="Arial" w:cs="Arial"/>
          <w:b w:val="0"/>
          <w:i/>
          <w:color w:val="6B7280"/>
          <w:sz w:val="17"/>
        </w:rPr>
        <w:t>Keep the word "Keywords" followed by a colon at the start of this paragraph and separate the terms with commas: the platform reads this line to pre-fill the keyword field of your submission. The title above and the first paragraph of the abstract are read the same way.</w:t>
      </w:r>
    </w:p>
    <w:p>
      <w:pPr>
        <w:spacing w:after="160"/>
      </w:pPr>
      <w:r>
        <w:rPr>
          <w:rFonts w:ascii="Arial" w:hAnsi="Arial" w:cs="Arial"/>
          <w:b w:val="0"/>
          <w:i/>
          <w:color w:val="6B7280"/>
          <w:sz w:val="17"/>
        </w:rPr>
        <w:t>Authors, affiliations, ORCIDs and the corresponding author are entered in the submission form, not in this file: the published article is built from the author data held by the platform. Do not add an author block above the abstract.</w:t>
      </w:r>
    </w:p>
    <w:p>
      <w:pPr>
        <w:pStyle w:val="Heading1"/>
      </w:pPr>
      <w:r>
        <w:t>INTRODUCTION</w:t>
      </w:r>
    </w:p>
    <w:p>
      <w:pPr>
        <w:jc w:val="both"/>
      </w:pPr>
      <w:r>
        <w:rPr>
          <w:b w:val="0"/>
          <w:i w:val="0"/>
        </w:rPr>
        <w:t>Open the introduction with the problem and why it matters, then narrow to the specific question this manuscript answers. Cite prior work in the numbered style used throughout this template [1], [2]. Everything shown here is fictitious and exists only to demonstrate the layout.</w:t>
      </w:r>
    </w:p>
    <w:p>
      <w:pPr>
        <w:jc w:val="both"/>
      </w:pPr>
      <w:r>
        <w:rPr>
          <w:b w:val="0"/>
          <w:i w:val="0"/>
        </w:rPr>
        <w:t>State the objective explicitly in the last paragraph of this section. In this example the objective is to quantify how the stability of a simple estimator improves as the sample size grows, and to show at which point further sampling stops paying off [3].</w:t>
      </w:r>
    </w:p>
    <w:p>
      <w:pPr>
        <w:pStyle w:val="Heading1"/>
      </w:pPr>
      <w:r>
        <w:t>MATERIALS AND METHODS</w:t>
      </w:r>
    </w:p>
    <w:p>
      <w:pPr>
        <w:pStyle w:val="Heading2"/>
      </w:pPr>
      <w:r>
        <w:t>Study design</w:t>
      </w:r>
    </w:p>
    <w:p>
      <w:pPr>
        <w:jc w:val="both"/>
      </w:pPr>
      <w:r>
        <w:rPr>
          <w:b w:val="0"/>
          <w:i w:val="0"/>
        </w:rPr>
        <w:t>Describe the design so that another researcher could repeat it. In this example, seven sample sizes were examined, and for each one 500 independent samples were drawn from the same synthetic population. Report the materials, instruments or datasets used, with versions and sources where applicable.</w:t>
      </w:r>
    </w:p>
    <w:p>
      <w:pPr>
        <w:pStyle w:val="Heading2"/>
      </w:pPr>
      <w:r>
        <w:t>Statistical analysis</w:t>
      </w:r>
    </w:p>
    <w:p>
      <w:pPr>
        <w:jc w:val="both"/>
      </w:pPr>
      <w:r>
        <w:rPr>
          <w:b w:val="0"/>
          <w:i w:val="0"/>
        </w:rPr>
        <w:t>Name every statistic and state the software used. The quantity reported here is the standard deviation of the sample mean across the 500 draws, defined as:</w:t>
      </w:r>
    </w:p>
    <w:p>
      <w:pPr>
        <w:spacing w:before="80" w:after="80"/>
        <w:jc w:val="center"/>
      </w:pPr>
      <w:r>
        <w:rPr>
          <w:b w:val="0"/>
          <w:i w:val="0"/>
          <w:sz w:val="24"/>
        </w:rPr>
        <w:t>SD(x̄) = σ / √n</w:t>
      </w:r>
      <w:r>
        <w:rPr>
          <w:color w:val="6B7280"/>
          <w:sz w:val="20"/>
        </w:rPr>
        <w:tab/>
        <w:tab/>
        <w:t>(1)</w:t>
      </w:r>
    </w:p>
    <w:p>
      <w:pPr>
        <w:spacing w:after="160"/>
      </w:pPr>
      <w:r>
        <w:rPr>
          <w:rFonts w:ascii="Arial" w:hAnsi="Arial" w:cs="Arial"/>
          <w:b w:val="0"/>
          <w:i/>
          <w:color w:val="6B7280"/>
          <w:sz w:val="17"/>
        </w:rPr>
        <w:t>Equations may be typed as text, as above, or inserted with the Word equation editor (Insert ▸ Equation). Number them on the right and refer to them as "Equation (1)".</w:t>
      </w:r>
    </w:p>
    <w:p>
      <w:pPr>
        <w:jc w:val="both"/>
      </w:pPr>
      <w:r>
        <w:rPr>
          <w:b w:val="0"/>
          <w:i w:val="0"/>
        </w:rPr>
        <w:t>where σ is the population standard deviation and n the sample size. Equation (1) is the reference curve against which the observed spread is compared below.</w:t>
      </w:r>
    </w:p>
    <w:p>
      <w:pPr>
        <w:pStyle w:val="Heading1"/>
      </w:pPr>
      <w:r>
        <w:t>RESULTS</w:t>
      </w:r>
    </w:p>
    <w:p>
      <w:pPr>
        <w:jc w:val="both"/>
      </w:pPr>
      <w:r>
        <w:rPr>
          <w:b w:val="0"/>
          <w:i w:val="0"/>
        </w:rPr>
        <w:t>Report findings without interpreting them; interpretation belongs in the discussion. Spread fell steadily as the sample grew (Table 1), and the observed values tracked the reference curve of Equation (1) closely across the whole range (Fig. 1). The improvement between n = 400 and n = 800 was smaller than the improvement between n = 10 and n = 25.</w:t>
      </w:r>
    </w:p>
    <w:p>
      <w:pPr>
        <w:spacing w:after="160"/>
      </w:pPr>
      <w:r>
        <w:rPr>
          <w:rFonts w:ascii="Arial" w:hAnsi="Arial" w:cs="Arial"/>
          <w:b w:val="0"/>
          <w:i/>
          <w:color w:val="6B7280"/>
          <w:sz w:val="17"/>
        </w:rPr>
        <w:t>Refer to every table and figure in the text before it appears, as "(Table 1)" and "(Fig. 1)" above. Keep the numbering sequential.</w:t>
      </w:r>
    </w:p>
    <w:p>
      <w:pPr>
        <w:spacing w:before="120" w:after="60"/>
      </w:pPr>
      <w:r>
        <w:rPr>
          <w:b/>
          <w:i w:val="0"/>
          <w:sz w:val="18"/>
        </w:rPr>
        <w:t>Table 1. Spread of the sample mean by sample size (illustrative data).</w:t>
      </w:r>
    </w:p>
    <w:tbl>
      <w:tblPr>
        <w:tblStyle w:val="TableGrid"/>
        <w:tblW w:type="auto" w:w="0"/>
        <w:jc w:val="center"/>
        <w:tblLook w:firstColumn="1" w:firstRow="1" w:lastColumn="0" w:lastRow="0" w:noHBand="0" w:noVBand="1" w:val="04A0"/>
      </w:tblPr>
      <w:tblGrid>
        <w:gridCol w:w="2401"/>
        <w:gridCol w:w="2401"/>
        <w:gridCol w:w="2401"/>
        <w:gridCol w:w="2401"/>
      </w:tblGrid>
      <w:tr>
        <w:tc>
          <w:tcPr>
            <w:tcW w:type="dxa" w:w="2401"/>
            <w:shd w:val="clear" w:fill="EFF4FF"/>
          </w:tcPr>
          <w:p>
            <w:pPr>
              <w:jc w:val="center"/>
            </w:pPr>
            <w:r/>
            <w:r>
              <w:rPr>
                <w:b/>
                <w:sz w:val="18"/>
              </w:rPr>
              <w:t>Sample size (n)</w:t>
            </w:r>
          </w:p>
        </w:tc>
        <w:tc>
          <w:tcPr>
            <w:tcW w:type="dxa" w:w="2401"/>
            <w:shd w:val="clear" w:fill="EFF4FF"/>
          </w:tcPr>
          <w:p>
            <w:pPr>
              <w:jc w:val="center"/>
            </w:pPr>
            <w:r/>
            <w:r>
              <w:rPr>
                <w:b/>
                <w:sz w:val="18"/>
              </w:rPr>
              <w:t>SD of the mean</w:t>
            </w:r>
          </w:p>
        </w:tc>
        <w:tc>
          <w:tcPr>
            <w:tcW w:type="dxa" w:w="2401"/>
            <w:shd w:val="clear" w:fill="EFF4FF"/>
          </w:tcPr>
          <w:p>
            <w:pPr>
              <w:jc w:val="center"/>
            </w:pPr>
            <w:r/>
            <w:r>
              <w:rPr>
                <w:b/>
                <w:sz w:val="18"/>
              </w:rPr>
              <w:t>95% interval</w:t>
            </w:r>
          </w:p>
        </w:tc>
        <w:tc>
          <w:tcPr>
            <w:tcW w:type="dxa" w:w="2401"/>
            <w:shd w:val="clear" w:fill="EFF4FF"/>
          </w:tcPr>
          <w:p>
            <w:pPr>
              <w:jc w:val="center"/>
            </w:pPr>
            <w:r/>
            <w:r>
              <w:rPr>
                <w:b/>
                <w:sz w:val="18"/>
              </w:rPr>
              <w:t>Draws</w:t>
            </w:r>
          </w:p>
        </w:tc>
      </w:tr>
      <w:tr>
        <w:tc>
          <w:tcPr>
            <w:tcW w:type="dxa" w:w="2401"/>
          </w:tcPr>
          <w:p>
            <w:pPr>
              <w:jc w:val="center"/>
            </w:pPr>
            <w:r/>
            <w:r>
              <w:rPr>
                <w:sz w:val="18"/>
              </w:rPr>
              <w:t>10</w:t>
            </w:r>
          </w:p>
        </w:tc>
        <w:tc>
          <w:tcPr>
            <w:tcW w:type="dxa" w:w="2401"/>
          </w:tcPr>
          <w:p>
            <w:pPr>
              <w:jc w:val="center"/>
            </w:pPr>
            <w:r/>
            <w:r>
              <w:rPr>
                <w:sz w:val="18"/>
              </w:rPr>
              <w:t>0.601</w:t>
            </w:r>
          </w:p>
        </w:tc>
        <w:tc>
          <w:tcPr>
            <w:tcW w:type="dxa" w:w="2401"/>
          </w:tcPr>
          <w:p>
            <w:pPr>
              <w:jc w:val="center"/>
            </w:pPr>
            <w:r/>
            <w:r>
              <w:rPr>
                <w:sz w:val="18"/>
              </w:rPr>
              <w:t>0.412 – 0.796</w:t>
            </w:r>
          </w:p>
        </w:tc>
        <w:tc>
          <w:tcPr>
            <w:tcW w:type="dxa" w:w="2401"/>
          </w:tcPr>
          <w:p>
            <w:pPr>
              <w:jc w:val="center"/>
            </w:pPr>
            <w:r/>
            <w:r>
              <w:rPr>
                <w:sz w:val="18"/>
              </w:rPr>
              <w:t>500</w:t>
            </w:r>
          </w:p>
        </w:tc>
      </w:tr>
      <w:tr>
        <w:tc>
          <w:tcPr>
            <w:tcW w:type="dxa" w:w="2401"/>
          </w:tcPr>
          <w:p>
            <w:pPr>
              <w:jc w:val="center"/>
            </w:pPr>
            <w:r/>
            <w:r>
              <w:rPr>
                <w:sz w:val="18"/>
              </w:rPr>
              <w:t>25</w:t>
            </w:r>
          </w:p>
        </w:tc>
        <w:tc>
          <w:tcPr>
            <w:tcW w:type="dxa" w:w="2401"/>
          </w:tcPr>
          <w:p>
            <w:pPr>
              <w:jc w:val="center"/>
            </w:pPr>
            <w:r/>
            <w:r>
              <w:rPr>
                <w:sz w:val="18"/>
              </w:rPr>
              <w:t>0.380</w:t>
            </w:r>
          </w:p>
        </w:tc>
        <w:tc>
          <w:tcPr>
            <w:tcW w:type="dxa" w:w="2401"/>
          </w:tcPr>
          <w:p>
            <w:pPr>
              <w:jc w:val="center"/>
            </w:pPr>
            <w:r/>
            <w:r>
              <w:rPr>
                <w:sz w:val="18"/>
              </w:rPr>
              <w:t>0.291 – 0.489</w:t>
            </w:r>
          </w:p>
        </w:tc>
        <w:tc>
          <w:tcPr>
            <w:tcW w:type="dxa" w:w="2401"/>
          </w:tcPr>
          <w:p>
            <w:pPr>
              <w:jc w:val="center"/>
            </w:pPr>
            <w:r/>
            <w:r>
              <w:rPr>
                <w:sz w:val="18"/>
              </w:rPr>
              <w:t>500</w:t>
            </w:r>
          </w:p>
        </w:tc>
      </w:tr>
      <w:tr>
        <w:tc>
          <w:tcPr>
            <w:tcW w:type="dxa" w:w="2401"/>
          </w:tcPr>
          <w:p>
            <w:pPr>
              <w:jc w:val="center"/>
            </w:pPr>
            <w:r/>
            <w:r>
              <w:rPr>
                <w:sz w:val="18"/>
              </w:rPr>
              <w:t>50</w:t>
            </w:r>
          </w:p>
        </w:tc>
        <w:tc>
          <w:tcPr>
            <w:tcW w:type="dxa" w:w="2401"/>
          </w:tcPr>
          <w:p>
            <w:pPr>
              <w:jc w:val="center"/>
            </w:pPr>
            <w:r/>
            <w:r>
              <w:rPr>
                <w:sz w:val="18"/>
              </w:rPr>
              <w:t>0.269</w:t>
            </w:r>
          </w:p>
        </w:tc>
        <w:tc>
          <w:tcPr>
            <w:tcW w:type="dxa" w:w="2401"/>
          </w:tcPr>
          <w:p>
            <w:pPr>
              <w:jc w:val="center"/>
            </w:pPr>
            <w:r/>
            <w:r>
              <w:rPr>
                <w:sz w:val="18"/>
              </w:rPr>
              <w:t>0.214 – 0.332</w:t>
            </w:r>
          </w:p>
        </w:tc>
        <w:tc>
          <w:tcPr>
            <w:tcW w:type="dxa" w:w="2401"/>
          </w:tcPr>
          <w:p>
            <w:pPr>
              <w:jc w:val="center"/>
            </w:pPr>
            <w:r/>
            <w:r>
              <w:rPr>
                <w:sz w:val="18"/>
              </w:rPr>
              <w:t>500</w:t>
            </w:r>
          </w:p>
        </w:tc>
      </w:tr>
      <w:tr>
        <w:tc>
          <w:tcPr>
            <w:tcW w:type="dxa" w:w="2401"/>
          </w:tcPr>
          <w:p>
            <w:pPr>
              <w:jc w:val="center"/>
            </w:pPr>
            <w:r/>
            <w:r>
              <w:rPr>
                <w:sz w:val="18"/>
              </w:rPr>
              <w:t>100</w:t>
            </w:r>
          </w:p>
        </w:tc>
        <w:tc>
          <w:tcPr>
            <w:tcW w:type="dxa" w:w="2401"/>
          </w:tcPr>
          <w:p>
            <w:pPr>
              <w:jc w:val="center"/>
            </w:pPr>
            <w:r/>
            <w:r>
              <w:rPr>
                <w:sz w:val="18"/>
              </w:rPr>
              <w:t>0.190</w:t>
            </w:r>
          </w:p>
        </w:tc>
        <w:tc>
          <w:tcPr>
            <w:tcW w:type="dxa" w:w="2401"/>
          </w:tcPr>
          <w:p>
            <w:pPr>
              <w:jc w:val="center"/>
            </w:pPr>
            <w:r/>
            <w:r>
              <w:rPr>
                <w:sz w:val="18"/>
              </w:rPr>
              <w:t>0.156 – 0.231</w:t>
            </w:r>
          </w:p>
        </w:tc>
        <w:tc>
          <w:tcPr>
            <w:tcW w:type="dxa" w:w="2401"/>
          </w:tcPr>
          <w:p>
            <w:pPr>
              <w:jc w:val="center"/>
            </w:pPr>
            <w:r/>
            <w:r>
              <w:rPr>
                <w:sz w:val="18"/>
              </w:rPr>
              <w:t>500</w:t>
            </w:r>
          </w:p>
        </w:tc>
      </w:tr>
      <w:tr>
        <w:tc>
          <w:tcPr>
            <w:tcW w:type="dxa" w:w="2401"/>
          </w:tcPr>
          <w:p>
            <w:pPr>
              <w:jc w:val="center"/>
            </w:pPr>
            <w:r/>
            <w:r>
              <w:rPr>
                <w:sz w:val="18"/>
              </w:rPr>
              <w:t>200</w:t>
            </w:r>
          </w:p>
        </w:tc>
        <w:tc>
          <w:tcPr>
            <w:tcW w:type="dxa" w:w="2401"/>
          </w:tcPr>
          <w:p>
            <w:pPr>
              <w:jc w:val="center"/>
            </w:pPr>
            <w:r/>
            <w:r>
              <w:rPr>
                <w:sz w:val="18"/>
              </w:rPr>
              <w:t>0.134</w:t>
            </w:r>
          </w:p>
        </w:tc>
        <w:tc>
          <w:tcPr>
            <w:tcW w:type="dxa" w:w="2401"/>
          </w:tcPr>
          <w:p>
            <w:pPr>
              <w:jc w:val="center"/>
            </w:pPr>
            <w:r/>
            <w:r>
              <w:rPr>
                <w:sz w:val="18"/>
              </w:rPr>
              <w:t>0.112 – 0.160</w:t>
            </w:r>
          </w:p>
        </w:tc>
        <w:tc>
          <w:tcPr>
            <w:tcW w:type="dxa" w:w="2401"/>
          </w:tcPr>
          <w:p>
            <w:pPr>
              <w:jc w:val="center"/>
            </w:pPr>
            <w:r/>
            <w:r>
              <w:rPr>
                <w:sz w:val="18"/>
              </w:rPr>
              <w:t>500</w:t>
            </w:r>
          </w:p>
        </w:tc>
      </w:tr>
      <w:tr>
        <w:tc>
          <w:tcPr>
            <w:tcW w:type="dxa" w:w="2401"/>
          </w:tcPr>
          <w:p>
            <w:pPr>
              <w:jc w:val="center"/>
            </w:pPr>
            <w:r/>
            <w:r>
              <w:rPr>
                <w:sz w:val="18"/>
              </w:rPr>
              <w:t>400</w:t>
            </w:r>
          </w:p>
        </w:tc>
        <w:tc>
          <w:tcPr>
            <w:tcW w:type="dxa" w:w="2401"/>
          </w:tcPr>
          <w:p>
            <w:pPr>
              <w:jc w:val="center"/>
            </w:pPr>
            <w:r/>
            <w:r>
              <w:rPr>
                <w:sz w:val="18"/>
              </w:rPr>
              <w:t>0.095</w:t>
            </w:r>
          </w:p>
        </w:tc>
        <w:tc>
          <w:tcPr>
            <w:tcW w:type="dxa" w:w="2401"/>
          </w:tcPr>
          <w:p>
            <w:pPr>
              <w:jc w:val="center"/>
            </w:pPr>
            <w:r/>
            <w:r>
              <w:rPr>
                <w:sz w:val="18"/>
              </w:rPr>
              <w:t>0.081 – 0.112</w:t>
            </w:r>
          </w:p>
        </w:tc>
        <w:tc>
          <w:tcPr>
            <w:tcW w:type="dxa" w:w="2401"/>
          </w:tcPr>
          <w:p>
            <w:pPr>
              <w:jc w:val="center"/>
            </w:pPr>
            <w:r/>
            <w:r>
              <w:rPr>
                <w:sz w:val="18"/>
              </w:rPr>
              <w:t>500</w:t>
            </w:r>
          </w:p>
        </w:tc>
      </w:tr>
      <w:tr>
        <w:tc>
          <w:tcPr>
            <w:tcW w:type="dxa" w:w="2401"/>
          </w:tcPr>
          <w:p>
            <w:pPr>
              <w:jc w:val="center"/>
            </w:pPr>
            <w:r/>
            <w:r>
              <w:rPr>
                <w:sz w:val="18"/>
              </w:rPr>
              <w:t>800</w:t>
            </w:r>
          </w:p>
        </w:tc>
        <w:tc>
          <w:tcPr>
            <w:tcW w:type="dxa" w:w="2401"/>
          </w:tcPr>
          <w:p>
            <w:pPr>
              <w:jc w:val="center"/>
            </w:pPr>
            <w:r/>
            <w:r>
              <w:rPr>
                <w:sz w:val="18"/>
              </w:rPr>
              <w:t>0.067</w:t>
            </w:r>
          </w:p>
        </w:tc>
        <w:tc>
          <w:tcPr>
            <w:tcW w:type="dxa" w:w="2401"/>
          </w:tcPr>
          <w:p>
            <w:pPr>
              <w:jc w:val="center"/>
            </w:pPr>
            <w:r/>
            <w:r>
              <w:rPr>
                <w:sz w:val="18"/>
              </w:rPr>
              <w:t>0.058 – 0.078</w:t>
            </w:r>
          </w:p>
        </w:tc>
        <w:tc>
          <w:tcPr>
            <w:tcW w:type="dxa" w:w="2401"/>
          </w:tcPr>
          <w:p>
            <w:pPr>
              <w:jc w:val="center"/>
            </w:pPr>
            <w:r/>
            <w:r>
              <w:rPr>
                <w:sz w:val="18"/>
              </w:rPr>
              <w:t>500</w:t>
            </w:r>
          </w:p>
        </w:tc>
      </w:tr>
    </w:tbl>
    <w:p>
      <w:pPr>
        <w:spacing w:before="60" w:after="160"/>
      </w:pPr>
      <w:r>
        <w:rPr>
          <w:b w:val="0"/>
          <w:i/>
          <w:color w:val="6B7280"/>
          <w:sz w:val="16"/>
        </w:rPr>
        <w:t>Note: values are illustrative and were produced for this template; they are not measurements of anything.</w:t>
      </w:r>
    </w:p>
    <w:p>
      <w:pPr>
        <w:spacing w:after="160"/>
      </w:pPr>
      <w:r>
        <w:rPr>
          <w:rFonts w:ascii="Arial" w:hAnsi="Arial" w:cs="Arial"/>
          <w:b w:val="0"/>
          <w:i/>
          <w:color w:val="6B7280"/>
          <w:sz w:val="17"/>
        </w:rPr>
        <w:t>This is a real Word table (Insert ▸ Table), not a picture. Edit the cells directly, add or remove rows, and keep the caption above the table with a note or source below it.</w:t>
      </w:r>
    </w:p>
    <w:p>
      <w:pPr>
        <w:jc w:val="center"/>
      </w:pPr>
      <w:r>
        <w:drawing>
          <wp:inline xmlns:a="http://schemas.openxmlformats.org/drawingml/2006/main" xmlns:pic="http://schemas.openxmlformats.org/drawingml/2006/picture">
            <wp:extent cx="4663440" cy="2748099"/>
            <wp:docPr id="1" name="Picture 1"/>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4663440" cy="2748099"/>
                    </a:xfrm>
                    <a:prstGeom prst="rect"/>
                  </pic:spPr>
                </pic:pic>
              </a:graphicData>
            </a:graphic>
          </wp:inline>
        </w:drawing>
      </w:r>
    </w:p>
    <w:p>
      <w:pPr>
        <w:spacing w:before="60" w:after="160"/>
        <w:jc w:val="left"/>
      </w:pPr>
      <w:r>
        <w:rPr>
          <w:b/>
          <w:i w:val="0"/>
          <w:sz w:val="18"/>
        </w:rPr>
        <w:t>Figure 1. Spread of the sample mean against sample size, with the reference curve of Equation (1) (illustrative data).</w:t>
      </w:r>
    </w:p>
    <w:p>
      <w:pPr>
        <w:spacing w:after="160"/>
      </w:pPr>
      <w:r>
        <w:rPr>
          <w:rFonts w:ascii="Arial" w:hAnsi="Arial" w:cs="Arial"/>
          <w:b w:val="0"/>
          <w:i/>
          <w:color w:val="6B7280"/>
          <w:sz w:val="17"/>
        </w:rPr>
        <w:t>Insert figures as images (Insert ▸ Picture) and keep the caption below the figure. Use a resolution high enough to stay sharp in print.</w:t>
      </w:r>
    </w:p>
    <w:p>
      <w:pPr>
        <w:pStyle w:val="Heading1"/>
      </w:pPr>
      <w:r>
        <w:t>DISCUSSION</w:t>
      </w:r>
    </w:p>
    <w:p>
      <w:pPr>
        <w:jc w:val="both"/>
      </w:pPr>
      <w:r>
        <w:rPr>
          <w:b w:val="0"/>
          <w:i w:val="0"/>
        </w:rPr>
        <w:t>Compare your results with earlier work and state what they add. The pattern observed here matches the behaviour predicted by Equation (1) and reported previously [2], [4]. Say plainly what the study cannot answer: this example uses synthetic data and a single estimator, so it says nothing about real measurement error.</w:t>
      </w:r>
    </w:p>
    <w:p>
      <w:pPr>
        <w:pStyle w:val="Heading1"/>
      </w:pPr>
      <w:r>
        <w:t>CONCLUSION</w:t>
      </w:r>
    </w:p>
    <w:p>
      <w:pPr>
        <w:jc w:val="both"/>
      </w:pPr>
      <w:r>
        <w:rPr>
          <w:b w:val="0"/>
          <w:i w:val="0"/>
        </w:rPr>
        <w:t>Close with what was found and what follows from it, in a few sentences and without new results. Beyond a few hundred observations the gain in stability per additional observation is small, which is the practical point of this worked example.</w:t>
      </w:r>
    </w:p>
    <w:p>
      <w:pPr>
        <w:pStyle w:val="Heading1"/>
      </w:pPr>
      <w:r>
        <w:t>ACKNOWLEDGEMENTS</w:t>
      </w:r>
    </w:p>
    <w:p>
      <w:r>
        <w:rPr>
          <w:b w:val="0"/>
          <w:i w:val="0"/>
        </w:rPr>
        <w:t>Thank the people and institutions that helped but do not meet authorship criteria.</w:t>
      </w:r>
    </w:p>
    <w:p>
      <w:pPr>
        <w:pStyle w:val="Heading1"/>
      </w:pPr>
      <w:r>
        <w:t>CONFLICT OF INTEREST</w:t>
      </w:r>
    </w:p>
    <w:p>
      <w:r>
        <w:rPr>
          <w:b w:val="0"/>
          <w:i w:val="0"/>
        </w:rPr>
        <w:t>State any competing interest, or that none exists.</w:t>
      </w:r>
    </w:p>
    <w:p>
      <w:pPr>
        <w:pStyle w:val="Heading1"/>
      </w:pPr>
      <w:r>
        <w:t>AUTHOR CONTRIBUTIONS</w:t>
      </w:r>
    </w:p>
    <w:p>
      <w:pPr>
        <w:jc w:val="both"/>
      </w:pPr>
      <w:r>
        <w:rPr>
          <w:b w:val="0"/>
          <w:i w:val="0"/>
        </w:rPr>
        <w:t>Describe what each author did, for example: A. Author designed the study and wrote the manuscript; B. Coauthor ran the analysis; C. Collaborator reviewed the manuscript. All authors approved the final version.</w:t>
      </w:r>
    </w:p>
    <w:p>
      <w:pPr>
        <w:pStyle w:val="Heading1"/>
      </w:pPr>
      <w:r>
        <w:t>AUTHOR ORCIDS</w:t>
      </w:r>
    </w:p>
    <w:p>
      <w:r>
        <w:rPr>
          <w:b w:val="0"/>
          <w:i w:val="0"/>
          <w:sz w:val="20"/>
        </w:rPr>
        <w:t>A. Author — https://orcid.org/0000-0000-0000-0000</w:t>
      </w:r>
    </w:p>
    <w:p>
      <w:r>
        <w:rPr>
          <w:b w:val="0"/>
          <w:i w:val="0"/>
          <w:sz w:val="20"/>
        </w:rPr>
        <w:t>B. Coauthor — https://orcid.org/0000-0000-0000-0000</w:t>
      </w:r>
    </w:p>
    <w:p>
      <w:pPr>
        <w:pStyle w:val="Heading1"/>
      </w:pPr>
      <w:r>
        <w:t>DATA AVAILABILITY STATEMENT</w:t>
      </w:r>
    </w:p>
    <w:p>
      <w:r>
        <w:rPr>
          <w:b w:val="0"/>
          <w:i w:val="0"/>
        </w:rPr>
        <w:t>State where the data and code can be found, or why they cannot be shared.</w:t>
      </w:r>
    </w:p>
    <w:p>
      <w:pPr>
        <w:pStyle w:val="Heading1"/>
      </w:pPr>
      <w:r>
        <w:t>FUNDING</w:t>
      </w:r>
    </w:p>
    <w:p>
      <w:pPr>
        <w:jc w:val="both"/>
      </w:pPr>
      <w:r>
        <w:rPr>
          <w:b w:val="0"/>
          <w:i w:val="0"/>
        </w:rPr>
        <w:t>Name the funding bodies and grant numbers, or state that the work received no specific funding.</w:t>
      </w:r>
    </w:p>
    <w:p>
      <w:pPr>
        <w:pStyle w:val="Heading1"/>
      </w:pPr>
      <w:r>
        <w:t>REFERENCES</w:t>
      </w:r>
    </w:p>
    <w:p>
      <w:pPr>
        <w:spacing w:after="160"/>
      </w:pPr>
      <w:r>
        <w:rPr>
          <w:rFonts w:ascii="Arial" w:hAnsi="Arial" w:cs="Arial"/>
          <w:b w:val="0"/>
          <w:i/>
          <w:color w:val="6B7280"/>
          <w:sz w:val="17"/>
        </w:rPr>
        <w:t>The references below are fictitious and exist only to show the format. Replace all of them; do not cite them.</w:t>
      </w:r>
    </w:p>
    <w:p>
      <w:pPr>
        <w:spacing w:after="60"/>
        <w:jc w:val="both"/>
      </w:pPr>
      <w:r>
        <w:rPr>
          <w:b w:val="0"/>
          <w:i w:val="0"/>
          <w:sz w:val="19"/>
        </w:rPr>
        <w:t>[1] Author A, Coauthor B. 2024 — On the structure of a worked example. Journal of Example Studies 12, 101–118. [fictitious reference]</w:t>
      </w:r>
    </w:p>
    <w:p>
      <w:pPr>
        <w:spacing w:after="60"/>
        <w:jc w:val="both"/>
      </w:pPr>
      <w:r>
        <w:rPr>
          <w:b w:val="0"/>
          <w:i w:val="0"/>
          <w:sz w:val="19"/>
        </w:rPr>
        <w:t>[2] Collaborator C. 2023 — Sampling behaviour of simple estimators. Example Methods Review 8, 44–59. [fictitious reference]</w:t>
      </w:r>
    </w:p>
    <w:p>
      <w:pPr>
        <w:spacing w:after="60"/>
        <w:jc w:val="both"/>
      </w:pPr>
      <w:r>
        <w:rPr>
          <w:b w:val="0"/>
          <w:i w:val="0"/>
          <w:sz w:val="19"/>
        </w:rPr>
        <w:t>[3] Example D, Example E. 2022 — Deciding how much data is enough. Proceedings of the Example Conference, 210–219. [fictitious reference]</w:t>
      </w:r>
    </w:p>
    <w:p>
      <w:pPr>
        <w:spacing w:after="60"/>
        <w:jc w:val="both"/>
      </w:pPr>
      <w:r>
        <w:rPr>
          <w:b w:val="0"/>
          <w:i w:val="0"/>
          <w:sz w:val="19"/>
        </w:rPr>
        <w:t>[4] Example F. 2021 — Reference curves in practice. Example Press, Example City. [fictitious reference]</w:t>
      </w:r>
    </w:p>
    <w:p>
      <w:pPr>
        <w:pStyle w:val="Heading1"/>
      </w:pPr>
      <w:r>
        <w:t>HOW TO USE THIS TEMPLATE</w:t>
      </w:r>
    </w:p>
    <w:p>
      <w:pPr>
        <w:spacing w:after="60"/>
        <w:jc w:val="both"/>
      </w:pPr>
      <w:r>
        <w:rPr>
          <w:b w:val="0"/>
          <w:i w:val="0"/>
          <w:sz w:val="19"/>
        </w:rPr>
        <w:t>•  Replace every sentence of the example text with your own. The grey italic lines are instructions and should be deleted before submitting.</w:t>
      </w:r>
    </w:p>
    <w:p>
      <w:pPr>
        <w:spacing w:after="60"/>
        <w:jc w:val="both"/>
      </w:pPr>
      <w:r>
        <w:rPr>
          <w:b w:val="0"/>
          <w:i w:val="0"/>
          <w:sz w:val="19"/>
        </w:rPr>
        <w:t>•  Keep the section headings and their styles: the platform reads the document structure from them. Use the style "Title" for the article title, "Heading 1" for the main sections and "Heading 2" for subsections.</w:t>
      </w:r>
    </w:p>
    <w:p>
      <w:pPr>
        <w:spacing w:after="60"/>
        <w:jc w:val="both"/>
      </w:pPr>
      <w:r>
        <w:rPr>
          <w:b w:val="0"/>
          <w:i w:val="0"/>
          <w:sz w:val="19"/>
        </w:rPr>
        <w:t>•  Keep the title as the very first line of the document, the abstract directly under the ABSTRACT heading, and the keyword list in a paragraph starting with "Keywords".</w:t>
      </w:r>
    </w:p>
    <w:p>
      <w:pPr>
        <w:spacing w:after="60"/>
        <w:jc w:val="both"/>
      </w:pPr>
      <w:r>
        <w:rPr>
          <w:b w:val="0"/>
          <w:i w:val="0"/>
          <w:sz w:val="19"/>
        </w:rPr>
        <w:t>•  Number tables and figures in the order they are mentioned, caption tables above and figures below, and refer to each one in the text.</w:t>
      </w:r>
    </w:p>
    <w:p>
      <w:pPr>
        <w:spacing w:after="60"/>
        <w:jc w:val="both"/>
      </w:pPr>
      <w:r>
        <w:rPr>
          <w:b w:val="0"/>
          <w:i w:val="0"/>
          <w:sz w:val="19"/>
        </w:rPr>
        <w:t>•  Page size is A4 with 2.03 cm side margins and single line spacing.</w:t>
      </w:r>
    </w:p>
    <w:sectPr w:rsidR="00FC693F" w:rsidRPr="0006063C" w:rsidSect="00034616">
      <w:headerReference w:type="default" r:id="rId9"/>
      <w:footerReference w:type="default" r:id="rId10"/>
      <w:pgSz w:w="11906" w:h="16838"/>
      <w:pgMar w:top="1247" w:right="1151" w:bottom="1151" w:left="11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 xml:space="preserve">Manuscript template  ·  </w:t>
    </w:r>
    <w:r>
      <w:rPr>
        <w:rFonts w:ascii="Arial" w:hAnsi="Arial"/>
        <w:color w:val="6B7280"/>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2563EB"/>
      </w:pBdr>
    </w:pPr>
    <w:r>
      <w:drawing>
        <wp:inline xmlns:a="http://schemas.openxmlformats.org/drawingml/2006/main" xmlns:pic="http://schemas.openxmlformats.org/drawingml/2006/picture">
          <wp:extent cx="259200" cy="259200"/>
          <wp:docPr id="1" name="Picture 1"/>
          <wp:cNvGraphicFramePr>
            <a:graphicFrameLocks noChangeAspect="1"/>
          </wp:cNvGraphicFramePr>
          <a:graphic>
            <a:graphicData uri="http://schemas.openxmlformats.org/drawingml/2006/picture">
              <pic:pic>
                <pic:nvPicPr>
                  <pic:cNvPr id="0" name="sciledger-symbol-1034.png"/>
                  <pic:cNvPicPr/>
                </pic:nvPicPr>
                <pic:blipFill>
                  <a:blip r:embed="rId1"/>
                  <a:stretch>
                    <a:fillRect/>
                  </a:stretch>
                </pic:blipFill>
                <pic:spPr>
                  <a:xfrm>
                    <a:off x="0" y="0"/>
                    <a:ext cx="259200" cy="259200"/>
                  </a:xfrm>
                  <a:prstGeom prst="rect"/>
                </pic:spPr>
              </pic:pic>
            </a:graphicData>
          </a:graphic>
        </wp:inline>
      </w:drawing>
    </w:r>
    <w:r>
      <w:rPr>
        <w:rFonts w:ascii="Arial" w:hAnsi="Arial"/>
        <w:b/>
        <w:color w:val="2563EB"/>
        <w:sz w:val="22"/>
      </w:rPr>
      <w:t xml:space="preserve">  SciLedger</w:t>
    </w:r>
    <w:r>
      <w:rPr>
        <w:rFonts w:ascii="Arial" w:hAnsi="Arial"/>
        <w:color w:val="6B7280"/>
        <w:sz w:val="16"/>
      </w:rPr>
      <w:t xml:space="preserve">   ·   Open Science Publishing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Georgia" w:hAnsi="Georgia" w:cs="Georgia" w:eastAsia="Georgia"/>
      <w:b w:val="0"/>
      <w:caps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cs="Georgia" w:eastAsia="Georgia"/>
      <w:b/>
      <w:bCs/>
      <w:caps/>
      <w:color w:val="111827"/>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cs="Georgia" w:eastAsia="Georgia"/>
      <w:b/>
      <w:bCs/>
      <w:caps w:val="0"/>
      <w:color w:val="11182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cs="Georgia" w:eastAsia="Georgia"/>
      <w:b/>
      <w:caps w:val="0"/>
      <w:color w:val="111827"/>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