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09719515"/>
      <w:r>
        <w:t>OBJETIVO</w:t>
      </w:r>
      <w:bookmarkEnd w:id="0"/>
    </w:p>
    <w:p>
      <w:r>
        <w:t>O</w:t>
      </w:r>
      <w:r>
        <w:rPr>
          <w:b/>
          <w:bCs/>
        </w:rPr>
        <w:t xml:space="preserve"> </w:t>
      </w:r>
      <w:r>
        <w:rPr>
          <w:rStyle w:val="14"/>
          <w:b w:val="0"/>
          <w:bCs w:val="0"/>
        </w:rPr>
        <w:t>Lorem Ipsum</w:t>
      </w:r>
      <w:r>
        <w:t xml:space="preserve"> 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electrónica,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</w:p>
    <w:p>
      <w:pPr>
        <w:pStyle w:val="2"/>
      </w:pPr>
      <w:bookmarkStart w:id="1" w:name="_Toc109719516"/>
      <w:r>
        <w:t>APLICAÇÃO</w:t>
      </w:r>
      <w:bookmarkEnd w:id="1"/>
    </w:p>
    <w:p>
      <w:r>
        <w:t>O</w:t>
      </w:r>
      <w:r>
        <w:rPr>
          <w:b/>
          <w:bCs/>
        </w:rPr>
        <w:t xml:space="preserve"> </w:t>
      </w:r>
      <w:r>
        <w:rPr>
          <w:rStyle w:val="14"/>
          <w:b w:val="0"/>
          <w:bCs w:val="0"/>
        </w:rPr>
        <w:t>Lorem Ipsum</w:t>
      </w:r>
      <w:r>
        <w:t xml:space="preserve"> 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electrónica,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</w:p>
    <w:p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778923054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caps w:val="0"/>
          <w:szCs w:val="22"/>
          <w:lang w:eastAsia="en-US"/>
        </w:rPr>
      </w:sdtEndPr>
      <w:sdtContent>
        <w:p>
          <w:pPr>
            <w:pStyle w:val="21"/>
          </w:pPr>
          <w:r>
            <w:t>Sumário</w:t>
          </w:r>
        </w:p>
        <w:p>
          <w:pPr>
            <w:pStyle w:val="17"/>
            <w:tabs>
              <w:tab w:val="right" w:leader="dot" w:pos="10194"/>
            </w:tabs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"_Toc109719515" </w:instrText>
          </w:r>
          <w:r>
            <w:fldChar w:fldCharType="separate"/>
          </w:r>
          <w:r>
            <w:rPr>
              <w:rStyle w:val="13"/>
            </w:rPr>
            <w:t>OBJETIVO</w:t>
          </w:r>
          <w:r>
            <w:tab/>
          </w:r>
          <w:r>
            <w:fldChar w:fldCharType="begin"/>
          </w:r>
          <w:r>
            <w:instrText xml:space="preserve"> PAGEREF _Toc109719515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19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"_Toc109719516" </w:instrText>
          </w:r>
          <w:r>
            <w:fldChar w:fldCharType="separate"/>
          </w:r>
          <w:r>
            <w:rPr>
              <w:rStyle w:val="13"/>
            </w:rPr>
            <w:t>APLICAÇÃO</w:t>
          </w:r>
          <w:r>
            <w:tab/>
          </w:r>
          <w:r>
            <w:fldChar w:fldCharType="begin"/>
          </w:r>
          <w:r>
            <w:instrText xml:space="preserve"> PAGEREF _Toc109719516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40"/>
              <w:tab w:val="right" w:leader="dot" w:pos="1019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"_Toc109719517"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rPr>
              <w:rFonts w:cstheme="minorBidi"/>
            </w:rPr>
            <w:tab/>
          </w:r>
          <w:r>
            <w:rPr>
              <w:rStyle w:val="13"/>
            </w:rPr>
            <w:t>TÍTULO 1</w:t>
          </w:r>
          <w:r>
            <w:tab/>
          </w:r>
          <w:r>
            <w:fldChar w:fldCharType="begin"/>
          </w:r>
          <w:r>
            <w:instrText xml:space="preserve"> PAGEREF _Toc109719517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880"/>
              <w:tab w:val="right" w:leader="dot" w:pos="1019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"_Toc109719518" </w:instrText>
          </w:r>
          <w:r>
            <w:fldChar w:fldCharType="separate"/>
          </w:r>
          <w:r>
            <w:rPr>
              <w:rStyle w:val="13"/>
            </w:rPr>
            <w:t>1.1.</w:t>
          </w:r>
          <w:r>
            <w:rPr>
              <w:rFonts w:cstheme="minorBidi"/>
            </w:rPr>
            <w:tab/>
          </w:r>
          <w:r>
            <w:rPr>
              <w:rStyle w:val="13"/>
            </w:rPr>
            <w:t>TÍTULO 2</w:t>
          </w:r>
          <w:r>
            <w:tab/>
          </w:r>
          <w:r>
            <w:fldChar w:fldCharType="begin"/>
          </w:r>
          <w:r>
            <w:instrText xml:space="preserve"> PAGEREF _Toc109719518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320"/>
              <w:tab w:val="right" w:leader="dot" w:pos="1019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"_Toc109719519" </w:instrText>
          </w:r>
          <w:r>
            <w:fldChar w:fldCharType="separate"/>
          </w:r>
          <w:r>
            <w:rPr>
              <w:rStyle w:val="13"/>
            </w:rPr>
            <w:t>1.1.1.</w:t>
          </w:r>
          <w:r>
            <w:rPr>
              <w:rFonts w:cstheme="minorBidi"/>
            </w:rPr>
            <w:tab/>
          </w:r>
          <w:r>
            <w:rPr>
              <w:rStyle w:val="13"/>
            </w:rPr>
            <w:t>TÍTULO 3</w:t>
          </w:r>
          <w:r>
            <w:tab/>
          </w:r>
          <w:r>
            <w:fldChar w:fldCharType="begin"/>
          </w:r>
          <w:r>
            <w:instrText xml:space="preserve"> PAGEREF _Toc109719519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>
      <w:pPr>
        <w:pStyle w:val="2"/>
        <w:numPr>
          <w:ilvl w:val="0"/>
          <w:numId w:val="1"/>
        </w:numPr>
      </w:pPr>
      <w:r>
        <w:t>REAÇÃO ESTEQUIOMÉTRICA</w:t>
      </w:r>
    </w:p>
    <w:p>
      <w:pPr>
        <w:pStyle w:val="3"/>
        <w:numPr>
          <w:ilvl w:val="1"/>
          <w:numId w:val="1"/>
        </w:numPr>
      </w:pPr>
      <w:r>
        <w:t>COMPOSIÇÃO DOS PRODUTOS DA REAÇÃO</w:t>
      </w:r>
    </w:p>
    <w:p>
      <w:pPr>
        <w:pStyle w:val="29"/>
        <w:spacing w:line="276" w:lineRule="auto"/>
        <w:ind w:left="0" w:firstLine="0"/>
        <w:rPr>
          <w:rFonts w:hAnsi="DejaVu Math TeX Gyre"/>
          <w:b/>
          <w:bCs/>
          <w:sz w:val="20"/>
          <w:szCs w:val="20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comb</m:t>
              </m: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d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oxid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f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g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h2o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H2O+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N2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Os produtos da Reação Estequiométrica são definidos com base na quantidade de mols de cada elemento nos propelentes: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a ou e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+(c ou g)≠0 :adiciona CO2  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b ou f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+ (c ou g)≠0 :adiciona H2O 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(d ou ℎ)≠0 :adiciona N2 </m:t>
          </m:r>
        </m:oMath>
      </m:oMathPara>
    </w:p>
    <w:p>
      <w:pPr>
        <w:pStyle w:val="3"/>
        <w:numPr>
          <w:ilvl w:val="1"/>
          <w:numId w:val="1"/>
        </w:numPr>
      </w:pPr>
      <w:r>
        <w:t>DEFINIÇÃO DO NÚMERO DE MOLS da reação</w:t>
      </w:r>
    </w:p>
    <w:p>
      <w:pPr>
        <w:rPr>
          <w:lang w:val="pt-PT"/>
        </w:rPr>
      </w:pPr>
      <w:r>
        <w:rPr>
          <w:lang w:val="pt-PT"/>
        </w:rPr>
        <w:t>O número de mol de todos os componentes da reação pode ser obtido através de um sistema composto pelo balanço de C, H, O e N:</w:t>
      </w:r>
    </w:p>
    <w:p>
      <w:pPr>
        <w:ind w:left="708" w:firstLine="708"/>
        <w:rPr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lang w:val="pt-PT"/>
            </w:rPr>
            <m:t>O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 xml:space="preserve">            ∴         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oxid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×</m:t>
              </m:r>
              <m:r>
                <m:rPr/>
                <w:rPr>
                  <w:rFonts w:ascii="Cambria Math" w:hAnsi="Cambria Math"/>
                  <w:lang w:val="pt-PT"/>
                </w:rPr>
                <m:t>g</m:t>
              </m:r>
              <m:ctrlPr>
                <w:rPr>
                  <w:rFonts w:ascii="Cambria Math" w:hAnsi="Cambria Math"/>
                  <w:lang w:val="pt-PT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pt-PT"/>
            </w:rPr>
            <m:t>−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1×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ℎ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  <m:r>
                    <m:rPr/>
                    <w:rPr>
                      <w:rFonts w:ascii="Cambria Math" w:hAnsi="Cambria Math"/>
                      <w:lang w:val="pt-PT"/>
                    </w:rPr>
                    <m:t>o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sub>
              </m:sSub>
              <m:ctrlPr>
                <w:rPr>
                  <w:rFonts w:ascii="Cambria Math" w:hAnsi="Cambria Math"/>
                  <w:lang w:val="pt-PT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pt-PT"/>
            </w:rPr>
            <m:t>−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lang w:val="pt-PT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Theme="minorEastAsia"/>
              <w:lang w:val="pt-PT"/>
            </w:rPr>
            <m:t>−</m:t>
          </m:r>
          <m:d>
            <m:dPr>
              <m:ctrlPr>
                <w:rPr>
                  <w:rFonts w:ascii="Cambria Math" w:hAnsi="Cambria Math" w:eastAsiaTheme="minorEastAsia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Theme="minorEastAsia"/>
                  <w:lang w:val="pt-PT"/>
                </w:rPr>
                <m:t>0×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lang w:val="pt-PT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Theme="minorEastAsia"/>
              <w:lang w:val="pt-PT"/>
            </w:rPr>
            <m:t>=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comb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×</m:t>
              </m:r>
              <m:r>
                <m:rPr/>
                <w:rPr>
                  <w:rFonts w:ascii="Cambria Math" w:hAnsi="Cambria Math"/>
                  <w:lang w:val="pt-PT"/>
                </w:rPr>
                <m:t>c</m:t>
              </m:r>
              <m:ctrlPr>
                <w:rPr>
                  <w:rFonts w:ascii="Cambria Math" w:hAnsi="Cambria Math"/>
                  <w:lang w:val="pt-PT"/>
                </w:rPr>
              </m:ctrlPr>
            </m:e>
          </m:d>
        </m:oMath>
      </m:oMathPara>
    </w:p>
    <w:p>
      <w:pPr>
        <w:spacing w:line="276" w:lineRule="auto"/>
        <w:ind w:left="708" w:firstLine="708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DejaVu Math TeX Gyre"/>
              <w:lang w:val="pt-PT"/>
            </w:rPr>
            <m:t xml:space="preserve">H            </m:t>
          </m:r>
          <m:r>
            <m:rPr/>
            <w:rPr>
              <w:rFonts w:ascii="Cambria Math" w:hAnsi="Cambria Math"/>
              <w:lang w:val="pt-PT"/>
            </w:rPr>
            <m:t xml:space="preserve">∴         </m:t>
          </m:r>
          <m:d>
            <m:dPr>
              <m:ctrlPr>
                <w:rPr>
                  <w:rFonts w:ascii="Cambria Math" w:hAnsi="DejaVu Math TeX Gyre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oxid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PT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pt-PT"/>
                </w:rPr>
                <m:t>×f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/>
              <w:lang w:val="pt-PT"/>
            </w:rPr>
            <m:t>−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DejaVu Math TeX Gyre"/>
                  <w:lang w:val="pt-PT"/>
                </w:rPr>
                <m:t>2</m:t>
              </m:r>
              <m:r>
                <m:rPr/>
                <w:rPr>
                  <w:rFonts w:ascii="Cambria Math" w:hAnsi="Cambria Math"/>
                  <w:lang w:val="pt-PT"/>
                </w:rPr>
                <m:t>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lang w:val="pt-PT"/>
                    </w:rPr>
                    <m:t>n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pt-PT"/>
                    </w:rPr>
                    <m:t>ℎ2o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DejaVu Math TeX Gyre"/>
                  <w:i/>
                  <w:lang w:val="pt-PT"/>
                </w:rPr>
              </m:ctrlPr>
            </m:e>
          </m:d>
          <m:r>
            <m:rPr/>
            <w:rPr>
              <w:rFonts w:ascii="Cambria Math" w:hAnsi="DejaVu Math TeX Gyre"/>
              <w:lang w:val="pt-PT"/>
            </w:rPr>
            <m:t>−</m:t>
          </m:r>
          <m:d>
            <m:dPr>
              <m:ctrlPr>
                <w:rPr>
                  <w:rFonts w:ascii="Cambria Math" w:hAnsi="DejaVu Math TeX Gyre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DejaVu Math TeX Gyre"/>
                  <w:lang w:val="pt-PT"/>
                </w:rPr>
                <m:t>0</m:t>
              </m:r>
              <m:r>
                <m:rPr/>
                <w:rPr>
                  <w:rFonts w:ascii="Cambria Math" w:hAnsi="Cambria Math"/>
                  <w:lang w:val="pt-PT"/>
                </w:rPr>
                <m:t>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lang w:val="pt-PT"/>
                    </w:rPr>
                    <m:t>n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pt-PT"/>
                    </w:rPr>
                    <m:t>co2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>−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0×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lang w:val="pt-PT"/>
                    </w:rPr>
                    <m:t>n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pt-PT"/>
                    </w:rPr>
                    <m:t>n2</m:t>
                  </m: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comb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pt-PT"/>
                </w:rPr>
                <m:t>×b</m:t>
              </m:r>
              <m:ctrlPr>
                <w:rPr>
                  <w:rFonts w:ascii="Cambria Math" w:hAnsi="DejaVu Math TeX Gyre"/>
                  <w:i/>
                  <w:lang w:val="pt-PT"/>
                </w:rPr>
              </m:ctrlPr>
            </m:e>
          </m:d>
        </m:oMath>
      </m:oMathPara>
    </w:p>
    <w:p>
      <w:pPr>
        <w:spacing w:line="276" w:lineRule="auto"/>
        <w:ind w:firstLine="708"/>
        <w:rPr>
          <w:rFonts w:hAnsi="DejaVu Math TeX Gyre"/>
          <w:lang w:val="pt-PT"/>
        </w:rPr>
      </w:pPr>
      <m:oMath>
        <m:r>
          <m:rPr/>
          <w:rPr>
            <w:rFonts w:ascii="Cambria Math" w:hAnsi="DejaVu Math TeX Gyre"/>
            <w:lang w:val="pt-PT"/>
          </w:rPr>
          <m:t xml:space="preserve">C            </m:t>
        </m:r>
        <m:r>
          <m:rPr/>
          <w:rPr>
            <w:rFonts w:ascii="Cambria Math" w:hAnsi="Cambria Math"/>
            <w:lang w:val="pt-PT"/>
          </w:rPr>
          <m:t xml:space="preserve">∴         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oxid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×e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m:rPr/>
          <w:rPr>
            <w:rFonts w:ascii="Cambria Math" w:hAnsi="Cambria Math"/>
            <w:lang w:val="pt-PT"/>
          </w:rPr>
          <m:t>−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m:rPr/>
              <w:rPr>
                <w:rFonts w:ascii="Cambria Math" w:hAnsi="DejaVu Math TeX Gyre"/>
                <w:lang w:val="pt-PT"/>
              </w:rPr>
              <m:t>0</m:t>
            </m:r>
            <m:r>
              <m:rPr/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ℎ2o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m:rPr/>
          <w:rPr>
            <w:rFonts w:ascii="Cambria Math" w:hAnsi="DejaVu Math TeX Gyre"/>
            <w:lang w:val="pt-PT"/>
          </w:rPr>
          <m:t>−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m:rPr/>
              <w:rPr>
                <w:rFonts w:ascii="Cambria Math" w:hAnsi="DejaVu Math TeX Gyre"/>
                <w:lang w:val="pt-PT"/>
              </w:rPr>
              <m:t>1</m:t>
            </m:r>
            <m:r>
              <m:rPr/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co2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d>
        <m:r>
          <m:rPr/>
          <w:rPr>
            <w:rFonts w:ascii="Cambria Math" w:hAnsi="Cambria Math" w:eastAsiaTheme="minorEastAsia"/>
            <w:lang w:val="pt-PT"/>
          </w:rPr>
          <m:t>−</m:t>
        </m:r>
        <m:d>
          <m:dPr>
            <m:ctrlPr>
              <w:rPr>
                <w:rFonts w:ascii="Cambria Math" w:hAnsi="Cambria Math" w:eastAsiaTheme="minorEastAsia"/>
                <w:i/>
                <w:lang w:val="pt-PT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pt-PT"/>
              </w:rPr>
              <m:t>0×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n2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m:rPr/>
          <w:rPr>
            <w:rFonts w:ascii="Cambria Math" w:hAnsi="DejaVu Math TeX Gyre"/>
            <w:lang w:val="pt-PT"/>
          </w:rPr>
          <m:t>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comb</m:t>
                </m: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×</m:t>
            </m:r>
            <m:r>
              <m:rPr/>
              <w:rPr>
                <w:rFonts w:ascii="Cambria Math" w:hAnsi="DejaVu Math TeX Gyre"/>
                <w:lang w:val="pt-PT"/>
              </w:rPr>
              <m:t>a</m:t>
            </m:r>
            <m:ctrlPr>
              <w:rPr>
                <w:rFonts w:ascii="Cambria Math" w:hAnsi="DejaVu Math TeX Gyre"/>
                <w:i/>
                <w:lang w:val="pt-PT"/>
              </w:rPr>
            </m:ctrlPr>
          </m:e>
        </m:d>
      </m:oMath>
      <w:r>
        <w:rPr>
          <w:rFonts w:hAnsi="DejaVu Math TeX Gyre" w:eastAsiaTheme="minorEastAsia"/>
          <w:lang w:val="pt-PT"/>
        </w:rPr>
        <w:t xml:space="preserve"> </w:t>
      </w:r>
      <w:r>
        <w:rPr>
          <w:rFonts w:hAnsi="DejaVu Math TeX Gyre"/>
          <w:lang w:val="pt-PT"/>
        </w:rPr>
        <w:tab/>
      </w:r>
      <w:r>
        <w:rPr>
          <w:rFonts w:hAnsi="DejaVu Math TeX Gyre"/>
          <w:lang w:val="pt-PT"/>
        </w:rPr>
        <w:tab/>
      </w: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/>
          <w:lang w:val="pt-PT"/>
        </w:rPr>
        <w:tab/>
      </w:r>
      <m:oMath>
        <m:r>
          <m:rPr/>
          <w:rPr>
            <w:rFonts w:ascii="Cambria Math" w:hAnsi="DejaVu Math TeX Gyre"/>
            <w:lang w:val="pt-PT"/>
          </w:rPr>
          <m:t xml:space="preserve">N            </m:t>
        </m:r>
        <m:r>
          <m:rPr/>
          <w:rPr>
            <w:rFonts w:ascii="Cambria Math" w:hAnsi="Cambria Math"/>
            <w:lang w:val="pt-PT"/>
          </w:rPr>
          <m:t xml:space="preserve">∴         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oxid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×ℎ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m:rPr/>
          <w:rPr>
            <w:rFonts w:ascii="Cambria Math" w:hAnsi="Cambria Math"/>
            <w:lang w:val="pt-PT"/>
          </w:rPr>
          <m:t>−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m:rPr/>
              <w:rPr>
                <w:rFonts w:ascii="Cambria Math" w:hAnsi="DejaVu Math TeX Gyre"/>
                <w:lang w:val="pt-PT"/>
              </w:rPr>
              <m:t>0</m:t>
            </m:r>
            <m:r>
              <m:rPr/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ℎ2o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m:rPr/>
          <w:rPr>
            <w:rFonts w:ascii="Cambria Math" w:hAnsi="DejaVu Math TeX Gyre"/>
            <w:lang w:val="pt-PT"/>
          </w:rPr>
          <m:t>−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m:rPr/>
              <w:rPr>
                <w:rFonts w:ascii="Cambria Math" w:hAnsi="DejaVu Math TeX Gyre"/>
                <w:lang w:val="pt-PT"/>
              </w:rPr>
              <m:t>0</m:t>
            </m:r>
            <m:r>
              <m:rPr/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co2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m:rPr/>
          <w:rPr>
            <w:rFonts w:ascii="Cambria Math" w:hAnsi="DejaVu Math TeX Gyre"/>
            <w:lang w:val="pt-PT"/>
          </w:rPr>
          <m:t>−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m:rPr/>
              <w:rPr>
                <w:rFonts w:ascii="Cambria Math" w:hAnsi="DejaVu Math TeX Gyre"/>
                <w:lang w:val="pt-PT"/>
              </w:rPr>
              <m:t>2</m:t>
            </m:r>
            <m:r>
              <m:rPr/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pt-PT"/>
                  </w:rPr>
                  <m:t>n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DejaVu Math TeX Gyre" w:hAnsi="DejaVu Math TeX Gyre"/>
                    <w:lang w:val="pt-PT"/>
                  </w:rPr>
                  <m:t>n2</m:t>
                </m: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m:rPr/>
          <w:rPr>
            <w:rFonts w:ascii="Cambria Math" w:hAnsi="DejaVu Math TeX Gyre"/>
            <w:lang w:val="pt-PT"/>
          </w:rPr>
          <m:t>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comb</m:t>
                </m: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×</m:t>
            </m:r>
            <m:r>
              <m:rPr/>
              <w:rPr>
                <w:rFonts w:ascii="Cambria Math" w:hAnsi="DejaVu Math TeX Gyre"/>
                <w:lang w:val="pt-PT"/>
              </w:rPr>
              <m:t>d</m:t>
            </m:r>
            <m:ctrlPr>
              <w:rPr>
                <w:rFonts w:ascii="Cambria Math" w:hAnsi="DejaVu Math TeX Gyre"/>
                <w:i/>
                <w:lang w:val="pt-PT"/>
              </w:rPr>
            </m:ctrlPr>
          </m:e>
        </m:d>
      </m:oMath>
    </w:p>
    <w:p>
      <w:pPr>
        <w:spacing w:line="276" w:lineRule="auto"/>
        <w:ind w:firstLine="0"/>
        <w:rPr>
          <w:rFonts w:hAnsi="DejaVu Math TeX Gyre" w:eastAsiaTheme="minorEastAsia"/>
          <w:lang w:val="pt-PT"/>
        </w:rPr>
      </w:pPr>
    </w:p>
    <w:p>
      <w:pPr>
        <w:rPr>
          <w:lang w:val="pt-PT"/>
        </w:rPr>
      </w:pPr>
      <w:r>
        <w:rPr>
          <w:lang w:val="pt-PT"/>
        </w:rPr>
        <w:t>Simplificando, temos o seguinte sistema:</w:t>
      </w:r>
    </w:p>
    <w:p>
      <w:pPr>
        <w:ind w:firstLine="0"/>
        <w:rPr>
          <w:lang w:val="pt-PT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comb</m:t>
                    </m: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706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</w:tr>
    </w:tbl>
    <w:p>
      <w:pPr>
        <w:ind w:firstLine="0"/>
        <w:rPr>
          <w:rFonts w:eastAsiaTheme="minorEastAsia"/>
          <w:lang w:val="pt-PT"/>
        </w:rPr>
      </w:pPr>
    </w:p>
    <w:p>
      <w:pPr>
        <w:rPr>
          <w:lang w:val="pt-PT"/>
        </w:rPr>
      </w:pPr>
      <w:r>
        <w:rPr>
          <w:lang w:val="pt-PT"/>
        </w:rPr>
        <w:t xml:space="preserve">Para a reação estequiométrica será considerado sempre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comb</m:t>
            </m: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sub>
        </m:sSub>
        <m:r>
          <m:rPr/>
          <w:rPr>
            <w:rFonts w:ascii="Cambria Math" w:hAnsi="Cambria Math"/>
            <w:sz w:val="20"/>
            <w:szCs w:val="20"/>
            <w:lang w:val="pt-PT"/>
          </w:rPr>
          <m:t>=1</m:t>
        </m:r>
      </m:oMath>
      <w:r>
        <w:rPr>
          <w:rFonts w:eastAsiaTheme="minorEastAsia"/>
          <w:sz w:val="20"/>
          <w:szCs w:val="20"/>
          <w:lang w:val="pt-PT"/>
        </w:rPr>
        <w:t xml:space="preserve">. </w:t>
      </w:r>
    </w:p>
    <w:p>
      <w:r>
        <w:rPr>
          <w:lang w:val="pt-PT"/>
        </w:rPr>
        <w:t xml:space="preserve">Esse sistema deve ser resolvido pelo método de Eliminação de Gauss, que ao final nos trará os resultados desejados de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ℎ2o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ub>
        </m:sSub>
      </m:oMath>
      <w:r>
        <w:rPr>
          <w:rFonts w:eastAsiaTheme="minorEastAsia"/>
          <w:sz w:val="20"/>
          <w:szCs w:val="20"/>
          <w:lang w:val="pt-PT"/>
        </w:rPr>
        <w:t xml:space="preserve"> </w:t>
      </w:r>
      <w:r>
        <w:rPr>
          <w:rFonts w:eastAsiaTheme="minorEastAsia"/>
          <w:szCs w:val="24"/>
          <w:lang w:val="pt-PT"/>
        </w:rPr>
        <w:t>,</w:t>
      </w:r>
      <w:r>
        <w:rPr>
          <w:rFonts w:ascii="Cambria Math" w:hAnsi="Cambria Math"/>
          <w:i/>
          <w:sz w:val="20"/>
          <w:szCs w:val="20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co2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ub>
        </m:sSub>
      </m:oMath>
      <w:r>
        <w:t>,</w:t>
      </w:r>
      <w:r>
        <w:rPr>
          <w:rFonts w:ascii="Cambria Math" w:hAnsi="Cambria Math" w:eastAsiaTheme="minorEastAsia"/>
          <w:iCs/>
          <w:sz w:val="20"/>
          <w:szCs w:val="20"/>
          <w:lang w:val="pt-PT"/>
        </w:rPr>
        <w:t xml:space="preserve"> </w:t>
      </w:r>
      <w:r>
        <w:rPr>
          <w:rFonts w:ascii="Cambria Math" w:hAnsi="Cambria Math" w:eastAsiaTheme="minorEastAsia"/>
          <w:i/>
          <w:sz w:val="20"/>
          <w:szCs w:val="20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n2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 w:val="20"/>
                <w:szCs w:val="20"/>
                <w:lang w:val="pt-PT"/>
              </w:rPr>
              <m:t>oxid</m:t>
            </m: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ub>
        </m:sSub>
      </m:oMath>
      <w:r>
        <w:t>. O resultado é obtido zerando os valores acima e abaixo da diagonal, com a diagonal tendo todos os seus valores iguais a 1, e os resultados serão exibidos na última coluna da matriz:</w:t>
      </w:r>
    </w:p>
    <w:p>
      <w:pPr>
        <w:rPr>
          <w:iCs/>
          <w:lang w:val="pt-PT"/>
        </w:rPr>
      </w:pPr>
      <w:r>
        <w:t xml:space="preserve"> </w:t>
      </w: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680"/>
        <w:gridCol w:w="680"/>
        <w:gridCol w:w="680"/>
        <w:gridCol w:w="810"/>
        <w:gridCol w:w="706"/>
        <w:gridCol w:w="738"/>
        <w:gridCol w:w="706"/>
        <w:gridCol w:w="706"/>
        <w:gridCol w:w="706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comb</m:t>
                    </m: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</w:p>
        </w:tc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  <w:tc>
          <w:tcPr>
            <w:tcW w:w="1193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PT"/>
                  </w:rPr>
                  <m:t>resultado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  <w:tc>
          <w:tcPr>
            <w:tcW w:w="706" w:type="dxa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  <w:tc>
          <w:tcPr>
            <w:tcW w:w="706" w:type="dxa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  <w:tc>
          <w:tcPr>
            <w:tcW w:w="706" w:type="dxa"/>
          </w:tcPr>
          <w:p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</w:p>
        </w:tc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1</w:t>
            </w:r>
          </w:p>
        </w:tc>
        <w:tc>
          <w:tcPr>
            <w:tcW w:w="706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iCs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</m:oMath>
            </m:oMathPara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810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  <w:tc>
          <w:tcPr>
            <w:tcW w:w="706" w:type="dxa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1193" w:type="dxa"/>
            <w:tcBorders>
              <w:lef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Calibri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iCs/>
          <w:lang w:val="pt-PT"/>
        </w:rPr>
      </w:pPr>
      <w:r>
        <w:rPr>
          <w:iCs/>
          <w:lang w:val="pt-PT"/>
        </w:rPr>
        <w:t>O processo para zerar  os valores ocorre da seguinte forma:</w:t>
      </w:r>
    </w:p>
    <w:p>
      <w:pPr>
        <w:rPr>
          <w:iCs/>
          <w:lang w:val="pt-PT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774"/>
        <w:gridCol w:w="774"/>
        <w:gridCol w:w="774"/>
        <w:gridCol w:w="774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1112" w:type="dxa"/>
            <w:vAlign w:val="center"/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  <w:lang w:val="pt-PT"/>
              </w:rPr>
            </w:pPr>
          </w:p>
        </w:tc>
        <w:tc>
          <w:tcPr>
            <w:tcW w:w="738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Col0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Col1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Col2</w:t>
            </w:r>
          </w:p>
        </w:tc>
        <w:tc>
          <w:tcPr>
            <w:tcW w:w="680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Col3</w:t>
            </w:r>
          </w:p>
        </w:tc>
        <w:tc>
          <w:tcPr>
            <w:tcW w:w="81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Col4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1112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Linha 0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1112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Linha 1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1112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Linha 2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jc w:val="center"/>
        </w:trPr>
        <w:tc>
          <w:tcPr>
            <w:tcW w:w="1112" w:type="dxa"/>
            <w:tcBorders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rFonts w:ascii="Cambria Math" w:hAnsi="Cambria Math" w:eastAsia="Times New Roman" w:cs="Times New Roman"/>
                <w:szCs w:val="24"/>
                <w:lang w:val="pt-PT"/>
              </w:rPr>
            </w:pPr>
            <w:r>
              <w:rPr>
                <w:rFonts w:ascii="Cambria Math" w:hAnsi="Cambria Math" w:eastAsia="Times New Roman" w:cs="Times New Roman"/>
                <w:szCs w:val="24"/>
                <w:lang w:val="pt-PT"/>
              </w:rPr>
              <w:t>Linha 3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</m:oMath>
            </m:oMathPara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m:rPr/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</w:tr>
    </w:tbl>
    <w:p>
      <w:pPr>
        <w:rPr>
          <w:iCs/>
          <w:lang w:val="pt-PT"/>
        </w:rPr>
      </w:pPr>
    </w:p>
    <w:p>
      <w:pPr>
        <w:pStyle w:val="29"/>
        <w:numPr>
          <w:ilvl w:val="0"/>
          <w:numId w:val="2"/>
        </w:numPr>
        <w:rPr>
          <w:iCs/>
          <w:lang w:val="pt-PT"/>
        </w:rPr>
      </w:pPr>
      <w:r>
        <w:rPr>
          <w:iCs/>
          <w:lang w:val="pt-PT"/>
        </w:rPr>
        <w:t>As células em azul correspondem a diagonal principal</w:t>
      </w:r>
    </w:p>
    <w:p>
      <w:pPr>
        <w:pStyle w:val="29"/>
        <w:numPr>
          <w:ilvl w:val="0"/>
          <w:numId w:val="2"/>
        </w:numPr>
        <w:rPr>
          <w:iCs/>
          <w:lang w:val="pt-PT"/>
        </w:rPr>
      </w:pPr>
      <w:r>
        <w:rPr>
          <w:iCs/>
          <w:lang w:val="pt-PT"/>
        </w:rPr>
        <w:t>Cada célula em azul servirá como pivô e será utilizado no cálculo para zerar os valores das células que estão na mesma coluna, o solução é obtida através das equações:</w:t>
      </w:r>
    </w:p>
    <w:p>
      <w:pPr>
        <w:pStyle w:val="29"/>
        <w:numPr>
          <w:ilvl w:val="1"/>
          <w:numId w:val="2"/>
        </w:numPr>
        <w:rPr>
          <w:iCs/>
          <w:lang w:val="pt-PT"/>
        </w:rPr>
      </w:pPr>
      <w:r>
        <w:rPr>
          <w:iCs/>
          <w:lang w:val="pt-PT"/>
        </w:rPr>
        <w:t>Definição do pivô:</w:t>
      </w:r>
    </w:p>
    <w:p>
      <w:pPr>
        <w:pStyle w:val="29"/>
        <w:ind w:left="2007" w:firstLine="0"/>
        <w:rPr>
          <w:iCs/>
          <w:lang w:val="pt-PT"/>
        </w:rPr>
      </w:pPr>
    </w:p>
    <w:p>
      <w:pPr>
        <w:ind w:firstLine="0"/>
        <w:rPr>
          <w:rFonts w:eastAsiaTheme="minorEastAsia"/>
          <w:iCs/>
          <w:lang w:val="pt-PT"/>
        </w:rPr>
      </w:pPr>
      <m:oMathPara>
        <m:oMath>
          <m:r>
            <m:rPr/>
            <w:rPr>
              <w:rFonts w:ascii="Cambria Math" w:hAnsi="Cambria Math"/>
              <w:lang w:val="pt-PT"/>
            </w:rPr>
            <m:t>pivo=matriz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lin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pivo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col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pivo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</m:oMath>
      </m:oMathPara>
    </w:p>
    <w:p>
      <w:pPr>
        <w:ind w:firstLine="0"/>
        <w:rPr>
          <w:iCs/>
          <w:lang w:val="pt-PT"/>
        </w:rPr>
      </w:pPr>
    </w:p>
    <w:p>
      <w:pPr>
        <w:pStyle w:val="29"/>
        <w:numPr>
          <w:ilvl w:val="1"/>
          <w:numId w:val="2"/>
        </w:numPr>
        <w:rPr>
          <w:lang w:val="pt-PT"/>
        </w:rPr>
      </w:pPr>
      <w:r>
        <w:rPr>
          <w:iCs/>
          <w:lang w:val="pt-PT"/>
        </w:rPr>
        <w:t xml:space="preserve">Define </w:t>
      </w:r>
      <w:r>
        <w:rPr>
          <w:lang w:val="pt-PT"/>
        </w:rPr>
        <w:t>o múltiplicador da linha y abaixo ou acima do pivô:</w:t>
      </w:r>
    </w:p>
    <w:p>
      <w:pPr>
        <w:pStyle w:val="29"/>
        <w:ind w:left="2007" w:firstLine="0"/>
        <w:rPr>
          <w:lang w:val="pt-PT"/>
        </w:rPr>
      </w:pPr>
    </w:p>
    <w:p>
      <w:pPr>
        <w:ind w:firstLine="0"/>
        <w:rPr>
          <w:rFonts w:eastAsiaTheme="minorEastAsia"/>
          <w:iCs/>
          <w:lang w:val="pt-PT"/>
        </w:rPr>
      </w:pPr>
      <m:oMathPara>
        <m:oMath>
          <m:r>
            <m:rPr/>
            <w:rPr>
              <w:rFonts w:ascii="Cambria Math" w:hAnsi="Cambria Math"/>
              <w:lang w:val="pt-PT"/>
            </w:rPr>
            <m:t>multp=</m:t>
          </m:r>
          <m:f>
            <m:fP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fPr>
            <m:num>
              <m:r>
                <m:rPr/>
                <w:rPr>
                  <w:rFonts w:ascii="Cambria Math" w:hAnsi="Cambria Math"/>
                  <w:lang w:val="pt-PT"/>
                </w:rPr>
                <m:t>matriz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pt-PT"/>
                        </w:rPr>
                        <m:t>lin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pt-PT"/>
                        </w:rPr>
                        <m:t>pivo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pt-PT"/>
                    </w:rPr>
                    <m:t>±y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pt-PT"/>
                        </w:rPr>
                        <m:t>col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pt-PT"/>
                        </w:rPr>
                        <m:t>pivo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num>
            <m:den>
              <m:r>
                <m:rPr/>
                <w:rPr>
                  <w:rFonts w:ascii="Cambria Math" w:hAnsi="Cambria Math"/>
                  <w:lang w:val="pt-PT"/>
                </w:rPr>
                <m:t>pivo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en>
          </m:f>
        </m:oMath>
      </m:oMathPara>
    </w:p>
    <w:p>
      <w:pPr>
        <w:rPr>
          <w:lang w:val="pt-PT"/>
        </w:rPr>
      </w:pPr>
    </w:p>
    <w:p>
      <w:pPr>
        <w:pStyle w:val="29"/>
        <w:numPr>
          <w:ilvl w:val="1"/>
          <w:numId w:val="2"/>
        </w:numPr>
        <w:rPr>
          <w:iCs/>
          <w:lang w:val="pt-PT"/>
        </w:rPr>
      </w:pPr>
      <w:r>
        <w:rPr>
          <w:iCs/>
          <w:lang w:val="pt-PT"/>
        </w:rPr>
        <w:t>Execute o cálculo em cada coluna x da linha y em questão:</w:t>
      </w:r>
    </w:p>
    <w:p>
      <w:pPr>
        <w:pStyle w:val="29"/>
        <w:ind w:left="2007" w:firstLine="0"/>
        <w:rPr>
          <w:iCs/>
          <w:lang w:val="pt-PT"/>
        </w:rPr>
      </w:pPr>
    </w:p>
    <w:p>
      <w:pPr>
        <w:pStyle w:val="29"/>
        <w:ind w:left="1287" w:firstLine="0"/>
        <w:rPr>
          <w:rFonts w:eastAsiaTheme="minorEastAsia"/>
          <w:iCs/>
          <w:lang w:val="pt-PT"/>
        </w:rPr>
      </w:pPr>
      <m:oMathPara>
        <m:oMath>
          <m:r>
            <m:rPr/>
            <w:rPr>
              <w:rFonts w:ascii="Cambria Math" w:hAnsi="Cambria Math"/>
              <w:lang w:val="pt-PT"/>
            </w:rPr>
            <m:t>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lin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pivo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pt-PT"/>
                </w:rPr>
                <m:t>±y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m:rPr/>
                <w:rPr>
                  <w:rFonts w:ascii="Cambria Math" w:hAnsi="Cambria Math"/>
                  <w:lang w:val="pt-PT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r>
            <m:rPr/>
            <w:rPr>
              <w:rFonts w:ascii="Cambria Math" w:hAnsi="Cambria Math"/>
              <w:lang w:val="pt-PT"/>
            </w:rPr>
            <m:t>=matriz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lin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pivo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pt-PT"/>
                </w:rPr>
                <m:t>±y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m:rPr/>
                <w:rPr>
                  <w:rFonts w:ascii="Cambria Math" w:hAnsi="Cambria Math"/>
                  <w:lang w:val="pt-PT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r>
            <m:rPr/>
            <w:rPr>
              <w:rFonts w:ascii="Cambria Math" w:hAnsi="Cambria Math"/>
              <w:lang w:val="pt-PT"/>
            </w:rPr>
            <m:t xml:space="preserve">− </m:t>
          </m:r>
          <m:r>
            <m:rPr/>
            <w:rPr>
              <w:rFonts w:ascii="Cambria Math" w:hAnsi="Cambria Math" w:eastAsiaTheme="minorEastAsia"/>
              <w:lang w:val="pt-PT"/>
            </w:rPr>
            <m:t>mult ×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pt-PT"/>
                    </w:rPr>
                    <m:t>lin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pt-PT"/>
                    </w:rPr>
                    <m:t>pivo</m:t>
                  </m: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m:rPr/>
                <w:rPr>
                  <w:rFonts w:ascii="Cambria Math" w:hAnsi="Cambria Math"/>
                  <w:lang w:val="pt-PT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d>
        </m:oMath>
      </m:oMathPara>
    </w:p>
    <w:p>
      <w:pPr>
        <w:pStyle w:val="29"/>
        <w:ind w:left="1287" w:firstLine="0"/>
        <w:rPr>
          <w:rFonts w:eastAsiaTheme="minorEastAsia"/>
          <w:iCs/>
          <w:lang w:val="pt-PT"/>
        </w:rPr>
      </w:pPr>
    </w:p>
    <w:p>
      <w:pPr>
        <w:spacing w:after="160" w:line="259" w:lineRule="auto"/>
        <w:ind w:firstLine="0"/>
        <w:jc w:val="left"/>
        <w:rPr>
          <w:rFonts w:eastAsiaTheme="minorEastAsia"/>
          <w:iCs/>
          <w:lang w:val="pt-PT"/>
        </w:rPr>
      </w:pPr>
      <w:r>
        <w:rPr>
          <w:rFonts w:eastAsiaTheme="minorEastAsia"/>
          <w:iCs/>
          <w:lang w:val="pt-PT"/>
        </w:rPr>
        <w:br w:type="page"/>
      </w:r>
    </w:p>
    <w:p>
      <w:pPr>
        <w:pStyle w:val="3"/>
        <w:numPr>
          <w:ilvl w:val="1"/>
          <w:numId w:val="1"/>
        </w:numPr>
      </w:pPr>
      <w:r>
        <w:t>TEMPERATURA ADIABÁTICA DE CHAMA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A temperatura adiabática de chama obtida com um processo de combustão em regime permanente é determinada pela seguinte equação:</w:t>
      </w:r>
    </w:p>
    <w:p>
      <w:pPr>
        <w:rPr>
          <w:sz w:val="23"/>
          <w:szCs w:val="23"/>
        </w:rPr>
      </w:pPr>
    </w:p>
    <w:p>
      <w:pPr>
        <w:rPr>
          <w:rFonts w:hAnsi="DejaVu Math TeX Gyre"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aryPr>
                <m: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  <m: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N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r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nary>
              <m:r>
                <m:rPr/>
                <w:rPr>
                  <w:rFonts w:ascii="Cambria Math" w:hAnsi="Cambria Math" w:eastAsiaTheme="minorEastAsia"/>
                  <w:lang w:val="pt-PT"/>
                </w:rPr>
                <m:t>∆ℎ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r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aryPr>
                <m: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  <m: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N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p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nary>
              <m:r>
                <m:rPr/>
                <w:rPr>
                  <w:rFonts w:ascii="Cambria Math" w:hAnsi="Cambria Math" w:eastAsiaTheme="minorEastAsia"/>
                  <w:lang w:val="pt-PT"/>
                </w:rPr>
                <m:t>∆ℎ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p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</m:oMath>
      </m:oMathPara>
    </w:p>
    <w:p>
      <w:pPr>
        <w:rPr>
          <w:sz w:val="23"/>
          <w:szCs w:val="23"/>
        </w:rPr>
      </w:pPr>
    </w:p>
    <w:p>
      <w:pPr>
        <w:rPr>
          <w:rFonts w:hAnsi="DejaVu Math TeX Gyre"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aryPr>
                <m: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  <m: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N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r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nary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Theme="minorEastAsia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  <w:lang w:val="pt-PT"/>
                            </w:rPr>
                            <m:t>ℎ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lang w:val="pt-PT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f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ℎ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−</m:t>
                  </m:r>
                  <m:acc>
                    <m:accPr>
                      <m:chr m:val="̅"/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ℎ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°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r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aryPr>
                <m: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  <m: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N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p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nary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Theme="minorEastAsia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  <w:lang w:val="pt-PT"/>
                            </w:rPr>
                            <m:t>ℎ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lang w:val="pt-PT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f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ℎ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−</m:t>
                  </m:r>
                  <m:acc>
                    <m:accPr>
                      <m:chr m:val="̅"/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ℎ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°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p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sz w:val="23"/>
          <w:szCs w:val="23"/>
        </w:rPr>
        <w:t>Segundo Gordon; McBride e Reno (1993), a entalpia pode ser descrita pela equação</w:t>
      </w:r>
      <w:r>
        <w:rPr>
          <w:rFonts w:hAnsi="DejaVu Math TeX Gyre" w:eastAsiaTheme="minorEastAsia"/>
          <w:lang w:val="pt-PT"/>
        </w:rPr>
        <w:t>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>
          <m:r>
            <m:rPr/>
            <w:rPr>
              <w:rFonts w:ascii="Cambria Math" w:hAnsi="Cambria Math" w:eastAsiaTheme="minorEastAsia"/>
              <w:lang w:val="pt-PT"/>
            </w:rPr>
            <m:t xml:space="preserve">∆ℎ= 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ℎ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</m:acc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f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+</m:t>
          </m:r>
          <m:acc>
            <m:accPr>
              <m:chr m:val="̅"/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acc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ℎ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acc>
          <m:r>
            <m:rPr/>
            <w:rPr>
              <w:rFonts w:ascii="Cambria Math" w:hAnsi="Cambria Math" w:eastAsiaTheme="minorEastAsia"/>
              <w:lang w:val="pt-PT"/>
            </w:rPr>
            <m:t>−</m:t>
          </m:r>
          <m:acc>
            <m:accPr>
              <m:chr m:val="̅"/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acc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ℎ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acc>
          <m:r>
            <m:rPr/>
            <w:rPr>
              <w:rFonts w:ascii="Cambria Math" w:hAnsi="Cambria Math" w:eastAsiaTheme="minorEastAsia"/>
              <w:lang w:val="pt-PT"/>
            </w:rPr>
            <m:t>°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E também por: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>
          <m:r>
            <m:rPr/>
            <w:rPr>
              <w:rFonts w:ascii="Cambria Math" w:hAnsi="Cambria Math" w:eastAsiaTheme="minorEastAsia"/>
              <w:lang w:val="pt-PT"/>
            </w:rPr>
            <m:t xml:space="preserve">∆ℎ=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−a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−2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lnT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4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6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3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4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7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4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lang w:val="pt-PT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b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pt-PT"/>
                        </w:rPr>
                        <m:t>1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pt-PT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den>
              </m:f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>R'T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Onde:</w:t>
      </w:r>
    </w:p>
    <w:p>
      <w:pPr>
        <w:pStyle w:val="29"/>
        <w:numPr>
          <w:ilvl w:val="0"/>
          <w:numId w:val="3"/>
        </w:numPr>
        <w:spacing w:line="276" w:lineRule="auto"/>
        <w:rPr>
          <w:rFonts w:hAnsi="DejaVu Math TeX Gyre" w:eastAsiaTheme="minorEastAsia"/>
          <w:lang w:val="pt-PT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r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p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é o número de mols em [mol]</w:t>
      </w:r>
    </w:p>
    <w:p>
      <w:pPr>
        <w:pStyle w:val="29"/>
        <w:numPr>
          <w:ilvl w:val="0"/>
          <w:numId w:val="3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T</m:t>
        </m:r>
      </m:oMath>
      <w:r>
        <w:rPr>
          <w:rFonts w:hAnsi="DejaVu Math TeX Gyre" w:eastAsiaTheme="minorEastAsia"/>
          <w:lang w:val="pt-PT"/>
        </w:rPr>
        <w:t xml:space="preserve"> é a temperatura em [K]</w:t>
      </w:r>
    </w:p>
    <w:p>
      <w:pPr>
        <w:pStyle w:val="29"/>
        <w:numPr>
          <w:ilvl w:val="0"/>
          <w:numId w:val="3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R'</m:t>
        </m:r>
      </m:oMath>
      <w:r>
        <w:rPr>
          <w:rFonts w:hAnsi="DejaVu Math TeX Gyre" w:eastAsiaTheme="minorEastAsia"/>
          <w:lang w:val="pt-PT"/>
        </w:rPr>
        <w:t xml:space="preserve"> é a constante universal dos gases 8,314510 J/(mol-K)</w:t>
      </w:r>
    </w:p>
    <w:p>
      <w:pPr>
        <w:pStyle w:val="29"/>
        <w:numPr>
          <w:ilvl w:val="0"/>
          <w:numId w:val="3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Os coeficientes a e b são obtidos das tabelas contidas em </w:t>
      </w:r>
      <w:r>
        <w:rPr>
          <w:sz w:val="23"/>
          <w:szCs w:val="23"/>
        </w:rPr>
        <w:t>Gordon; McBride e Reno (1993)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Para obter a temperatura adiabática de chama deverá ser efetuadas iterações variando a temperatura até que a igualdade seja atingida.</w:t>
      </w:r>
    </w:p>
    <w:p>
      <w:pPr>
        <w:spacing w:after="160" w:line="259" w:lineRule="auto"/>
        <w:ind w:firstLine="0"/>
        <w:jc w:val="left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br w:type="page"/>
      </w:r>
    </w:p>
    <w:p>
      <w:pPr>
        <w:pStyle w:val="2"/>
        <w:numPr>
          <w:ilvl w:val="0"/>
          <w:numId w:val="1"/>
        </w:numPr>
      </w:pPr>
      <w:r>
        <w:t>razão de mistura e razão de equivalência</w:t>
      </w:r>
    </w:p>
    <w:p>
      <w:pPr>
        <w:spacing w:line="276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 Razão de Mistura é obtida pela razão da massa de oxidante pela massa de combustível: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>
          <m:r>
            <m:rPr/>
            <w:rPr>
              <w:rFonts w:ascii="Cambria Math" w:hAnsi="Cambria Math" w:eastAsiaTheme="minorEastAsia"/>
              <w:lang w:val="pt-PT"/>
            </w:rPr>
            <m:t>OC=</m:t>
          </m:r>
          <m:f>
            <m:f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oxid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comb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en>
          </m:f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Já a massa é obtido entre a multiplicação do número de mols e a massa molar: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>
          <m:r>
            <m:rPr/>
            <w:rPr>
              <w:rFonts w:ascii="Cambria Math" w:hAnsi="Cambria Math" w:eastAsiaTheme="minorEastAsia"/>
              <w:lang w:val="pt-PT"/>
            </w:rPr>
            <m:t>m=N</m:t>
          </m:r>
          <m:acc>
            <m:accPr>
              <m:chr m:val="̅"/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acc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M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acc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Sendo:</w:t>
      </w:r>
    </w:p>
    <w:p>
      <w:pPr>
        <w:pStyle w:val="29"/>
        <w:numPr>
          <w:ilvl w:val="0"/>
          <w:numId w:val="4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m</m:t>
        </m:r>
      </m:oMath>
      <w:r>
        <w:rPr>
          <w:rFonts w:hAnsi="DejaVu Math TeX Gyre" w:eastAsiaTheme="minorEastAsia"/>
          <w:lang w:val="pt-PT"/>
        </w:rPr>
        <w:t xml:space="preserve"> a massa em [kg]</w:t>
      </w:r>
    </w:p>
    <w:p>
      <w:pPr>
        <w:pStyle w:val="29"/>
        <w:numPr>
          <w:ilvl w:val="0"/>
          <w:numId w:val="4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N</m:t>
        </m:r>
      </m:oMath>
      <w:r>
        <w:rPr>
          <w:rFonts w:hAnsi="DejaVu Math TeX Gyre" w:eastAsiaTheme="minorEastAsia"/>
          <w:lang w:val="pt-PT"/>
        </w:rPr>
        <w:t xml:space="preserve"> é o número de mols em [kmol]</w:t>
      </w:r>
    </w:p>
    <w:p>
      <w:pPr>
        <w:pStyle w:val="29"/>
        <w:numPr>
          <w:ilvl w:val="0"/>
          <w:numId w:val="4"/>
        </w:numPr>
        <w:spacing w:line="276" w:lineRule="auto"/>
        <w:rPr>
          <w:rFonts w:hAnsi="DejaVu Math TeX Gyre" w:eastAsiaTheme="minorEastAsia"/>
          <w:lang w:val="pt-PT"/>
        </w:rPr>
      </w:pPr>
      <m:oMath>
        <m:acc>
          <m:accPr>
            <m:chr m:val="̅"/>
            <m:ctrlPr>
              <w:rPr>
                <w:rFonts w:ascii="Cambria Math" w:hAnsi="Cambria Math" w:eastAsiaTheme="minorEastAsia"/>
                <w:i/>
                <w:lang w:val="pt-PT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pt-PT"/>
              </w:rPr>
              <m:t>M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acc>
      </m:oMath>
      <w:r>
        <w:rPr>
          <w:rFonts w:hAnsi="DejaVu Math TeX Gyre" w:eastAsiaTheme="minorEastAsia"/>
          <w:lang w:val="pt-PT"/>
        </w:rPr>
        <w:t xml:space="preserve"> é a massa molar em [kg/kmol]</w:t>
      </w:r>
    </w:p>
    <w:p>
      <w:pPr>
        <w:pStyle w:val="29"/>
        <w:spacing w:line="276" w:lineRule="auto"/>
        <w:ind w:left="1287" w:firstLine="0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Além da razão de mistura é muito utilizado a Razão de Equivalência, sendo definida como a razão entre a Razão de Mistura Estequiométrica pela Razão de Mistura Real:</w:t>
      </w: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>
          <m:r>
            <m:rPr/>
            <w:rPr>
              <w:rFonts w:ascii="Cambria Math" w:hAnsi="Cambria Math" w:eastAsiaTheme="minorEastAsia"/>
              <w:lang w:val="pt-PT"/>
            </w:rPr>
            <m:t>ϕ=</m:t>
          </m:r>
          <m:f>
            <m:f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OC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pt-PT"/>
                    </w:rPr>
                    <m:t>estequiometrica</m:t>
                  </m:r>
                  <m:ctrlPr>
                    <w:rPr>
                      <w:rFonts w:ascii="Cambria Math" w:hAnsi="Cambria Math" w:eastAsiaTheme="minorEastAsia"/>
                      <w:i/>
                      <w:lang w:val="pt-PT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val="pt-PT"/>
                </w:rPr>
                <m:t>OC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en>
          </m:f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A Razão de Equivalência auxilia para determinar se uma reação é rica ou pobre em combustível,:</w:t>
      </w:r>
    </w:p>
    <w:p>
      <w:pPr>
        <w:pStyle w:val="29"/>
        <w:numPr>
          <w:ilvl w:val="0"/>
          <w:numId w:val="5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ϕ&gt;1</m:t>
        </m:r>
      </m:oMath>
      <w:r>
        <w:rPr>
          <w:rFonts w:hAnsi="DejaVu Math TeX Gyre" w:eastAsiaTheme="minorEastAsia"/>
          <w:lang w:val="pt-PT"/>
        </w:rPr>
        <w:t xml:space="preserve"> mistura rica em combustível</w:t>
      </w:r>
    </w:p>
    <w:p>
      <w:pPr>
        <w:pStyle w:val="29"/>
        <w:numPr>
          <w:ilvl w:val="0"/>
          <w:numId w:val="5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ϕ&lt;1</m:t>
        </m:r>
      </m:oMath>
      <w:r>
        <w:rPr>
          <w:rFonts w:hAnsi="DejaVu Math TeX Gyre" w:eastAsiaTheme="minorEastAsia"/>
          <w:lang w:val="pt-PT"/>
        </w:rPr>
        <w:t xml:space="preserve"> mistura pobre em combustível</w:t>
      </w:r>
    </w:p>
    <w:p>
      <w:pPr>
        <w:pStyle w:val="29"/>
        <w:numPr>
          <w:ilvl w:val="0"/>
          <w:numId w:val="5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ϕ=1</m:t>
        </m:r>
      </m:oMath>
      <w:r>
        <w:rPr>
          <w:rFonts w:hAnsi="DejaVu Math TeX Gyre" w:eastAsiaTheme="minorEastAsia"/>
          <w:lang w:val="pt-PT"/>
        </w:rPr>
        <w:t xml:space="preserve"> mistura estequiométrica </w:t>
      </w: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after="160" w:line="259" w:lineRule="auto"/>
        <w:ind w:firstLine="0"/>
        <w:jc w:val="left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br w:type="page"/>
      </w:r>
    </w:p>
    <w:p>
      <w:pPr>
        <w:pStyle w:val="2"/>
        <w:numPr>
          <w:ilvl w:val="0"/>
          <w:numId w:val="1"/>
        </w:numPr>
      </w:pPr>
      <w:r>
        <w:t>REAÇÃO COM DISSOCIAÇÃO</w:t>
      </w:r>
    </w:p>
    <w:p>
      <w:pPr>
        <w:pStyle w:val="3"/>
        <w:numPr>
          <w:ilvl w:val="1"/>
          <w:numId w:val="1"/>
        </w:numPr>
      </w:pPr>
      <w:r>
        <w:t>COMPOSIÇÃO DOS PRODUTOS DA REAÇÃO</w:t>
      </w:r>
    </w:p>
    <w:p>
      <w:pPr>
        <w:pStyle w:val="29"/>
        <w:spacing w:line="276" w:lineRule="auto"/>
        <w:ind w:left="0" w:firstLine="0"/>
        <w:rPr>
          <w:rFonts w:hAnsi="DejaVu Math TeX Gyre"/>
          <w:b/>
          <w:bCs/>
          <w:sz w:val="20"/>
          <w:szCs w:val="20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comb</m:t>
              </m: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d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oxid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f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g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h2o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H2O+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n2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Os produtos da Reação Estequiométrica são definidos com base na quantidade de mols de cada elemento nos propelentes: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a ou e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c ou g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≠0 :adiciona CO2 e CO   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b ou f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+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c ou g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≠0 :adiciona H2O e OH </m:t>
          </m:r>
        </m:oMath>
      </m:oMathPara>
    </w:p>
    <w:p>
      <w:pPr>
        <w:spacing w:line="276" w:lineRule="auto"/>
        <w:ind w:firstLine="0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b ou f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≠0 :adiciona H2 e H  </m:t>
          </m:r>
        </m:oMath>
      </m:oMathPara>
    </w:p>
    <w:p>
      <w:pPr>
        <w:spacing w:line="276" w:lineRule="auto"/>
        <w:ind w:firstLine="0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c ou g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 xml:space="preserve">≠0 :adiciona O2 e O  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inorEastAsia"/>
              <w:lang w:val="pt-PT"/>
            </w:rPr>
            <m:t xml:space="preserve">Se:  </m:t>
          </m:r>
          <m:d>
            <m:d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d ou ℎ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pt-PT"/>
            </w:rPr>
            <m:t>≠0 :adiciona N2 e N</m:t>
          </m:r>
        </m:oMath>
      </m:oMathPara>
    </w:p>
    <w:p>
      <w:pPr>
        <w:pStyle w:val="3"/>
        <w:numPr>
          <w:ilvl w:val="1"/>
          <w:numId w:val="1"/>
        </w:numPr>
      </w:pPr>
      <w:r>
        <w:t>NÚMERO DE MOLS DOS REAGENTES E PRODUTOS</w:t>
      </w:r>
    </w:p>
    <w:p>
      <w:r>
        <w:t>O número de mols de oxidante é igual ao número de mols de oxidante da reação estequiométrica:</w:t>
      </w:r>
    </w:p>
    <w:p>
      <w:pPr>
        <w:pStyle w:val="29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oxid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oxid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estequiométrico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 número de mols de combustível é obtido por meio da Razão de Equivalência: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comb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oxid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M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</m:acc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oxid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 w:eastAsiaTheme="minorEastAsia"/>
                <w:lang w:val="pt-PT"/>
              </w:rPr>
              <m:t>ϕ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OC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estequiometrica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M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</m:acc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comb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den>
        </m:f>
      </m:oMath>
    </w:p>
    <w:p>
      <w:pPr>
        <w:rPr>
          <w:lang w:val="pt-PT"/>
        </w:rPr>
      </w:pPr>
      <w:r>
        <w:rPr>
          <w:lang w:val="pt-PT"/>
        </w:rPr>
        <w:t>O número total de mols dos produtos é dado por: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b/>
          <w:bCs/>
          <w:sz w:val="20"/>
          <w:szCs w:val="20"/>
          <w:lang w:val="pt-PT"/>
        </w:rPr>
      </w:pPr>
      <m:oMath>
        <m:r>
          <m:rPr/>
          <w:rPr>
            <w:rFonts w:ascii="Cambria Math" w:hAnsi="Cambria Math" w:eastAsiaTheme="minorEastAsia"/>
            <w:szCs w:val="24"/>
            <w:lang w:val="pt-PT"/>
          </w:rPr>
          <m:t>N=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ℎ2o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co2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co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oℎ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ℎ2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ℎ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o2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o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n2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  <m:r>
          <m:rPr/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szCs w:val="24"/>
                <w:lang w:val="pt-PT"/>
              </w:rPr>
              <m:t>n</m:t>
            </m: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ub>
        </m:sSub>
      </m:oMath>
    </w:p>
    <w:p>
      <w:pPr>
        <w:rPr>
          <w:lang w:val="pt-PT"/>
        </w:rPr>
      </w:pPr>
      <w:r>
        <w:rPr>
          <w:lang w:val="pt-PT"/>
        </w:rPr>
        <w:t>O número de mols também pode ser expresso em frações molares:</w:t>
      </w:r>
    </w:p>
    <w:p>
      <w:pPr>
        <w:pStyle w:val="29"/>
        <w:numPr>
          <w:ilvl w:val="0"/>
          <w:numId w:val="6"/>
        </w:numPr>
        <w:rPr>
          <w:rFonts w:eastAsiaTheme="minorEastAsia"/>
          <w:lang w:val="pt-PT"/>
        </w:rPr>
      </w:pPr>
      <m:oMath>
        <m:r>
          <m:rPr/>
          <w:rPr>
            <w:rFonts w:ascii="Cambria Math" w:hAnsi="Cambria Math"/>
            <w:lang w:val="pt-PT"/>
          </w:rPr>
          <m:t>n'=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den>
        </m:f>
      </m:oMath>
    </w:p>
    <w:p>
      <w:p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 número total de mols em frações molares será igual a 1: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b/>
          <w:bCs/>
          <w:sz w:val="20"/>
          <w:szCs w:val="20"/>
          <w:lang w:val="pt-PT"/>
        </w:rPr>
      </w:pPr>
      <m:oMath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'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  <m:r>
          <m:rPr/>
          <w:rPr>
            <w:rFonts w:ascii="Cambria Math" w:hAnsi="Cambria Math" w:eastAsiaTheme="minorEastAsia"/>
            <w:lang w:val="pt-PT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h2o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oh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h2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h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n2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pt-PT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pt-PT"/>
              </w:rPr>
            </m:ctrlP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  <w:lang w:val="pt-PT"/>
          </w:rPr>
          <m:t>=1</m:t>
        </m:r>
      </m:oMath>
    </w:p>
    <w:p>
      <w:pPr>
        <w:rPr>
          <w:lang w:val="pt-PT"/>
        </w:rPr>
      </w:pPr>
      <w:r>
        <w:rPr>
          <w:lang w:val="pt-PT"/>
        </w:rPr>
        <w:t>O mesmo pode ser feito para os reagentes:</w:t>
      </w:r>
    </w:p>
    <w:p>
      <w:pPr>
        <w:pStyle w:val="29"/>
        <w:numPr>
          <w:ilvl w:val="0"/>
          <w:numId w:val="6"/>
        </w:numPr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reagentes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rPr>
          <w:lang w:val="pt-PT"/>
        </w:rPr>
      </w:pPr>
      <w:r>
        <w:rPr>
          <w:rFonts w:eastAsiaTheme="minorEastAsia"/>
          <w:lang w:val="pt-PT"/>
        </w:rPr>
        <w:t>Logo o número de mols dos reagentes em fração molar é:</w:t>
      </w:r>
    </w:p>
    <w:p>
      <w:pPr>
        <w:pStyle w:val="29"/>
        <w:numPr>
          <w:ilvl w:val="0"/>
          <w:numId w:val="6"/>
        </w:numPr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oxid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reagentes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den>
        </m:f>
      </m:oMath>
    </w:p>
    <w:p>
      <w:pPr>
        <w:pStyle w:val="29"/>
        <w:numPr>
          <w:ilvl w:val="0"/>
          <w:numId w:val="6"/>
        </w:numPr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comb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reagentes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den>
        </m:f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 balanço do númer de mols de C, H, O e N em frações molares é dado por: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=a×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DejaVu Math TeX Gyre"/>
            <w:lang w:val="pt-PT"/>
          </w:rPr>
          <m:t>+e</m:t>
        </m:r>
        <m:r>
          <m:rPr/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DejaVu Math TeX Gyre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H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=b×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r>
          <m:rPr/>
          <w:rPr>
            <w:rFonts w:ascii="Cambria Math" w:hAnsi="DejaVu Math TeX Gyre"/>
            <w:lang w:val="pt-PT"/>
          </w:rPr>
          <m:t>f</m:t>
        </m:r>
        <m:r>
          <m:rPr/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=c×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r>
          <m:rPr/>
          <w:rPr>
            <w:rFonts w:ascii="Cambria Math" w:hAnsi="DejaVu Math TeX Gyre"/>
            <w:lang w:val="pt-PT"/>
          </w:rPr>
          <m:t>g</m:t>
        </m:r>
        <m:r>
          <m:rPr/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=d×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r>
          <m:rPr/>
          <w:rPr>
            <w:rFonts w:ascii="Cambria Math" w:hAnsi="Cambria Math" w:cs="Cambria Math"/>
            <w:lang w:val="pt-PT"/>
          </w:rPr>
          <m:t>ℎ</m:t>
        </m:r>
        <m:r>
          <m:rPr/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 xml:space="preserve">    ∴   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n'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co2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= 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/>
          <w:lang w:val="pt-PT"/>
        </w:rPr>
        <w:tab/>
      </w:r>
      <w:r>
        <w:rPr>
          <w:rFonts w:hAnsi="DejaVu Math TeX Gyre"/>
          <w:lang w:val="pt-PT"/>
        </w:rPr>
        <w:tab/>
      </w:r>
      <w:r>
        <w:rPr>
          <w:rFonts w:hAnsi="DejaVu Math TeX Gyre"/>
          <w:lang w:val="pt-PT"/>
        </w:rPr>
        <w:tab/>
      </w:r>
      <w:r>
        <w:rPr>
          <w:rFonts w:hAnsi="DejaVu Math TeX Gyre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H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/>
          <w:lang w:val="pt-PT"/>
        </w:rPr>
        <w:tab/>
      </w:r>
      <w:r>
        <w:rPr>
          <w:rFonts w:hAnsi="DejaVu Math TeX Gyre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6"/>
        </w:numPr>
        <w:spacing w:line="276" w:lineRule="auto"/>
        <w:jc w:val="left"/>
        <w:rPr>
          <w:rFonts w:hAnsi="DejaVu Math TeX Gyre"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3"/>
        <w:numPr>
          <w:ilvl w:val="1"/>
          <w:numId w:val="1"/>
        </w:numPr>
      </w:pPr>
      <w:r>
        <w:t>REAÇÕES DE DISSOCIAÇÃO</w:t>
      </w:r>
    </w:p>
    <w:p>
      <w:r>
        <w:t xml:space="preserve">Em uma reação de combustão não estequiométrica deve ser considerado a dissociação dos componentes principais em outros elementos. Para determinar se uma reação irá ocorrer ou não em determinada temperatura, deve ser utilizado a constante de equilíbrio </w:t>
      </w:r>
      <m:oMath>
        <m:r>
          <m:rPr/>
          <w:rPr>
            <w:rFonts w:ascii="Cambria Math" w:hAnsi="Cambria Math"/>
          </w:rPr>
          <m:t>kp</m:t>
        </m:r>
      </m:oMath>
      <w:r>
        <w:rPr>
          <w:rFonts w:eastAsiaTheme="minorEastAsia"/>
        </w:rPr>
        <w:t xml:space="preserve"> </w:t>
      </w:r>
      <w:r>
        <w:t>que é obtido através de uma dada reação.</w:t>
      </w:r>
    </w:p>
    <w:p>
      <w:r>
        <w:t>Considerando uma reação entre dois reagentes A e B, obtendo dois produtos C e D, obtemos a seguinte reação:</w:t>
      </w:r>
    </w:p>
    <w:p>
      <w:pPr>
        <w:spacing w:line="276" w:lineRule="auto"/>
        <w:jc w:val="center"/>
        <w:rPr>
          <w:rFonts w:hAnsi="DejaVu Math TeX Gyre"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Y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A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A+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Y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B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B→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Y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C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C+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pt-PT"/>
                </w:rPr>
                <m:t>Y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pt-PT"/>
                </w:rPr>
                <m:t>D</m:t>
              </m:r>
              <m:ctrlPr>
                <w:rPr>
                  <w:rFonts w:ascii="Cambria Math" w:hAnsi="Cambria Math" w:eastAsiaTheme="minorEastAsia"/>
                  <w:i/>
                  <w:lang w:val="pt-PT"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pt-PT"/>
            </w:rPr>
            <m:t>D</m:t>
          </m:r>
        </m:oMath>
      </m:oMathPara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E a equação de Kp desta reação é descrita como: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/>
            <w:lang w:val="pt-PT"/>
          </w:rPr>
          <m:t>kp</m:t>
        </m:r>
        <m:r>
          <m:rPr/>
          <w:rPr>
            <w:rFonts w:ascii="Cambria Math" w:hAnsi="Cambria Math" w:eastAsiaTheme="minorEastAsia"/>
            <w:lang w:val="pt-PT"/>
          </w:rPr>
          <m:t xml:space="preserve">= </m:t>
        </m:r>
        <m:f>
          <m:fPr>
            <m:ctrlPr>
              <w:rPr>
                <w:rFonts w:ascii="Cambria Math" w:hAnsi="Cambria Math" w:eastAsiaTheme="minorEastAsia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C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C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D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D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 w:eastAsiaTheme="minorEastAsia"/>
                <w:i/>
                <w:lang w:val="pt-PT"/>
              </w:rPr>
            </m:ctrlP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B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B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 w:eastAsiaTheme="minorEastAsia"/>
                <w:i/>
                <w:lang w:val="pt-PT"/>
              </w:rPr>
            </m:ctrlPr>
          </m:den>
        </m:f>
        <m:r>
          <m:rPr/>
          <w:rPr>
            <w:rFonts w:ascii="Cambria Math" w:hAnsi="Cambria Math" w:eastAsiaTheme="minorEastAsia"/>
            <w:lang w:val="pt-PT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γ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∆Y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Sendo: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∆Y=</m:t>
        </m:r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Y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D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Y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C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−</m:t>
        </m:r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Y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B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−</m:t>
        </m:r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Y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A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γ=</m:t>
        </m:r>
        <m:f>
          <m:fPr>
            <m:ctrlPr>
              <w:rPr>
                <w:rFonts w:ascii="Cambria Math" w:hAnsi="Cambria Math" w:eastAsiaTheme="minorEastAsia"/>
                <w:i/>
                <w:lang w:val="pt-PT"/>
              </w:rPr>
            </m:ctrlPr>
          </m:fPr>
          <m:num>
            <m:r>
              <m:rPr/>
              <w:rPr>
                <w:rFonts w:ascii="Cambria Math" w:hAnsi="Cambria Math" w:eastAsiaTheme="minorEastAsia"/>
                <w:lang w:val="pt-PT"/>
              </w:rPr>
              <m:t>p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num>
          <m:den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den>
        </m:f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Onde:</w:t>
      </w:r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A, B, C, e D são os componentes químicos da reação</w:t>
      </w:r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Y são os coeficientes estequiométricos</w:t>
      </w:r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p</m:t>
        </m:r>
      </m:oMath>
      <w:r>
        <w:rPr>
          <w:rFonts w:hAnsi="DejaVu Math TeX Gyre" w:eastAsiaTheme="minorEastAsia"/>
          <w:lang w:val="pt-PT"/>
        </w:rPr>
        <w:t xml:space="preserve"> é a pressão em [Pa]</w:t>
      </w:r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γ</m:t>
        </m:r>
      </m:oMath>
      <w:r>
        <w:rPr>
          <w:rFonts w:hAnsi="DejaVu Math TeX Gyre" w:eastAsiaTheme="minorEastAsia"/>
          <w:lang w:val="pt-PT"/>
        </w:rPr>
        <w:t xml:space="preserve"> a razão entre a pressão </w:t>
      </w:r>
      <m:oMath>
        <m:r>
          <m:rPr/>
          <w:rPr>
            <w:rFonts w:ascii="Cambria Math" w:hAnsi="Cambria Math" w:eastAsiaTheme="minorEastAsia"/>
            <w:lang w:val="pt-PT"/>
          </w:rPr>
          <m:t>p</m:t>
        </m:r>
      </m:oMath>
      <w:r>
        <w:rPr>
          <w:rFonts w:hAnsi="DejaVu Math TeX Gyre" w:eastAsiaTheme="minorEastAsia"/>
          <w:lang w:val="pt-PT"/>
        </w:rPr>
        <w:t xml:space="preserve"> e </w:t>
      </w:r>
      <m:oMath>
        <m:r>
          <m:rPr/>
          <w:rPr>
            <w:rFonts w:ascii="Cambria Math" w:hAnsi="Cambria Math" w:eastAsiaTheme="minorEastAsia"/>
            <w:lang w:val="pt-PT"/>
          </w:rPr>
          <m:t>N</m:t>
        </m:r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A constante de equilíbrio </w:t>
      </w:r>
      <m:oMath>
        <m:r>
          <m:rPr/>
          <w:rPr>
            <w:rFonts w:ascii="Cambria Math" w:hAnsi="Cambria Math"/>
          </w:rPr>
          <m:t>kp</m:t>
        </m:r>
      </m:oMath>
      <w:r>
        <w:rPr>
          <w:rFonts w:hAnsi="DejaVu Math TeX Gyre" w:eastAsiaTheme="minorEastAsia"/>
        </w:rPr>
        <w:t xml:space="preserve"> também pode ser escrita com base na variação da função de Gibbs: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 xml:space="preserve">kp= </m:t>
        </m:r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e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−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∆G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∗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p>
            </m:sSup>
            <m:r>
              <m:rPr/>
              <w:rPr>
                <w:rFonts w:ascii="Cambria Math" w:hAnsi="Cambria Math" w:eastAsiaTheme="minorEastAsia"/>
                <w:lang w:val="pt-PT"/>
              </w:rPr>
              <m:t>(T)/RT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Sendo que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∆G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∗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  <m:r>
          <m:rPr/>
          <w:rPr>
            <w:rFonts w:ascii="Cambria Math" w:hAnsi="Cambria Math" w:eastAsiaTheme="minorEastAsia"/>
            <w:lang w:val="pt-PT"/>
          </w:rPr>
          <m:t>(T)</m:t>
        </m:r>
      </m:oMath>
      <w:r>
        <w:rPr>
          <w:rFonts w:hAnsi="DejaVu Math TeX Gyre" w:eastAsiaTheme="minorEastAsia"/>
          <w:lang w:val="pt-PT"/>
        </w:rPr>
        <w:t xml:space="preserve"> é a variação da função de Gibbs, definida como: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∆G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∗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  <m:d>
          <m:dPr>
            <m:ctrlPr>
              <w:rPr>
                <w:rFonts w:ascii="Cambria Math" w:hAnsi="Cambria Math" w:eastAsiaTheme="minorEastAsia"/>
                <w:i/>
                <w:lang w:val="pt-PT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pt-PT"/>
              </w:rPr>
              <m:t>T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d>
        <m:r>
          <m:rPr/>
          <w:rPr>
            <w:rFonts w:ascii="Cambria Math" w:hAnsi="Cambria Math" w:eastAsiaTheme="minorEastAsia"/>
            <w:lang w:val="pt-PT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eastAsiaTheme="minorEastAsia"/>
                <w:i/>
                <w:lang w:val="pt-PT"/>
              </w:rPr>
            </m:ctrlPr>
          </m:naryPr>
          <m: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  <m:sup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  <m:e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eastAsiaTheme="minorEastAsia"/>
                            <w:i/>
                            <w:lang w:val="pt-PT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inorEastAsia"/>
                                <w:lang w:val="pt-PT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inorEastAsia"/>
                                <w:lang w:val="pt-PT"/>
                              </w:rPr>
                              <m:t>∗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inorEastAsia"/>
                            <w:i/>
                            <w:lang w:val="pt-PT"/>
                          </w:rPr>
                        </m:ctrlPr>
                      </m:e>
                    </m:acc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(T)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</m:d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p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nary>
        <m:r>
          <m:rPr/>
          <w:rPr>
            <w:rFonts w:ascii="Cambria Math" w:hAnsi="Cambria Math" w:eastAsiaTheme="minorEastAsia"/>
            <w:lang w:val="pt-PT"/>
          </w:rPr>
          <m:t>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eastAsiaTheme="minorEastAsia"/>
                <w:i/>
                <w:lang w:val="pt-PT"/>
              </w:rPr>
            </m:ctrlPr>
          </m:naryPr>
          <m: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  <m:sup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  <m:e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eastAsiaTheme="minorEastAsia"/>
                            <w:i/>
                            <w:lang w:val="pt-PT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inorEastAsia"/>
                                <w:lang w:val="pt-PT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inorEastAsia"/>
                                <w:lang w:val="pt-PT"/>
                              </w:rPr>
                              <m:t>∗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  <w:lang w:val="pt-PT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inorEastAsia"/>
                            <w:i/>
                            <w:lang w:val="pt-PT"/>
                          </w:rPr>
                        </m:ctrlPr>
                      </m:e>
                    </m:acc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(T)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</m:d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r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nary>
      </m:oMath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p</m:t>
        </m:r>
      </m:oMath>
      <w:r>
        <w:rPr>
          <w:rFonts w:hAnsi="DejaVu Math TeX Gyre" w:eastAsiaTheme="minorEastAsia"/>
          <w:lang w:val="pt-PT"/>
        </w:rPr>
        <w:t xml:space="preserve"> e </w:t>
      </w:r>
      <m:oMath>
        <m:r>
          <m:rPr/>
          <w:rPr>
            <w:rFonts w:ascii="Cambria Math" w:hAnsi="Cambria Math" w:eastAsiaTheme="minorEastAsia"/>
            <w:lang w:val="pt-PT"/>
          </w:rPr>
          <m:t>r</m:t>
        </m:r>
      </m:oMath>
      <w:r>
        <w:rPr>
          <w:rFonts w:hAnsi="DejaVu Math TeX Gyre" w:eastAsiaTheme="minorEastAsia"/>
          <w:lang w:val="pt-PT"/>
        </w:rPr>
        <w:t xml:space="preserve"> são os produtos e reagentes da reação com dissociação</w:t>
      </w:r>
    </w:p>
    <w:p>
      <w:pPr>
        <w:pStyle w:val="29"/>
        <w:numPr>
          <w:ilvl w:val="0"/>
          <w:numId w:val="7"/>
        </w:numPr>
        <w:spacing w:line="276" w:lineRule="auto"/>
        <w:rPr>
          <w:rFonts w:hAnsi="DejaVu Math TeX Gyre" w:eastAsiaTheme="minorEastAsia"/>
          <w:lang w:val="pt-PT"/>
        </w:rPr>
      </w:pPr>
      <m:oMath>
        <m:acc>
          <m:accPr>
            <m:chr m:val="̅"/>
            <m:ctrlPr>
              <w:rPr>
                <w:rFonts w:ascii="Cambria Math" w:hAnsi="Cambria Math" w:cs="Cambria Math"/>
                <w:i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  <w:szCs w:val="24"/>
                  </w:rPr>
                  <m:t>g</m:t>
                </m: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  <w:szCs w:val="24"/>
                  </w:rPr>
                  <m:t>∗</m:t>
                </m: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Cambria Math"/>
                <w:i/>
                <w:szCs w:val="24"/>
              </w:rPr>
            </m:ctrlPr>
          </m:e>
        </m:acc>
        <m:r>
          <m:rPr/>
          <w:rPr>
            <w:rFonts w:ascii="Cambria Math" w:hAnsi="Cambria Math"/>
            <w:szCs w:val="24"/>
          </w:rPr>
          <m:t>(</m:t>
        </m:r>
        <m:r>
          <m:rPr/>
          <w:rPr>
            <w:rFonts w:ascii="Cambria Math" w:hAnsi="Cambria Math" w:cs="Cambria Math"/>
            <w:szCs w:val="24"/>
          </w:rPr>
          <m:t>T</m:t>
        </m:r>
        <m:r>
          <m:rPr/>
          <w:rPr>
            <w:rFonts w:ascii="Cambria Math" w:hAnsi="Cambria Math"/>
            <w:szCs w:val="24"/>
          </w:rPr>
          <m:t>)</m:t>
        </m:r>
      </m:oMath>
      <w:r>
        <w:rPr>
          <w:sz w:val="23"/>
          <w:szCs w:val="23"/>
        </w:rPr>
        <w:t xml:space="preserve"> </w:t>
      </w:r>
      <w:r>
        <w:rPr>
          <w:rFonts w:hAnsi="DejaVu Math TeX Gyre" w:eastAsiaTheme="minorEastAsia"/>
          <w:lang w:val="pt-PT"/>
        </w:rPr>
        <w:t>é a função de Gibbs de determinado componente a pressão de uma atmosfera e temperatura T: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acc>
          <m:accPr>
            <m:chr m:val="̅"/>
            <m:ctrlPr>
              <w:rPr>
                <w:rFonts w:ascii="Cambria Math" w:hAnsi="Cambria Math" w:cs="Cambria Math"/>
                <w:i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  <w:szCs w:val="24"/>
                  </w:rPr>
                  <m:t>g</m:t>
                </m: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  <w:szCs w:val="24"/>
                  </w:rPr>
                  <m:t>∗</m:t>
                </m: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Cambria Math"/>
                <w:i/>
                <w:szCs w:val="24"/>
              </w:rPr>
            </m:ctrlP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 w:cs="Cambria Math"/>
                <w:szCs w:val="24"/>
              </w:rPr>
              <m:t>T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>
            <m:sty m:val="p"/>
          </m:rPr>
          <w:rPr>
            <w:rFonts w:asci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acc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ℎ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</m:acc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f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  <m:r>
          <m:rPr/>
          <w:rPr>
            <w:rFonts w:ascii="Cambria Math" w:hAnsi="Cambria Math" w:eastAsiaTheme="minorEastAsia"/>
            <w:lang w:val="pt-PT"/>
          </w:rPr>
          <m:t>+</m:t>
        </m:r>
        <m:acc>
          <m:accPr>
            <m:chr m:val="̅"/>
            <m:ctrlPr>
              <w:rPr>
                <w:rFonts w:ascii="Cambria Math" w:hAnsi="Cambria Math" w:eastAsiaTheme="minorEastAsia"/>
                <w:i/>
                <w:lang w:val="pt-PT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pt-PT"/>
              </w:rPr>
              <m:t>ℎ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acc>
        <m:r>
          <m:rPr/>
          <w:rPr>
            <w:rFonts w:ascii="Cambria Math" w:hAnsi="Cambria Math" w:eastAsiaTheme="minorEastAsia"/>
            <w:lang w:val="pt-PT"/>
          </w:rPr>
          <m:t>−</m:t>
        </m:r>
        <m:acc>
          <m:accPr>
            <m:chr m:val="̅"/>
            <m:ctrlPr>
              <w:rPr>
                <w:rFonts w:ascii="Cambria Math" w:hAnsi="Cambria Math" w:eastAsiaTheme="minorEastAsia"/>
                <w:i/>
                <w:lang w:val="pt-PT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pt-PT"/>
              </w:rPr>
              <m:t>ℎ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acc>
        <m:r>
          <m:rPr/>
          <w:rPr>
            <w:rFonts w:ascii="Cambria Math" w:hAnsi="Cambria Math" w:eastAsiaTheme="minorEastAsia"/>
            <w:lang w:val="pt-PT"/>
          </w:rPr>
          <m:t>°−TS</m:t>
        </m:r>
      </m:oMath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A entropia </w:t>
      </w:r>
      <m:oMath>
        <m:r>
          <m:rPr/>
          <w:rPr>
            <w:rFonts w:ascii="Cambria Math" w:hAnsi="Cambria Math" w:eastAsiaTheme="minorEastAsia"/>
            <w:lang w:val="pt-PT"/>
          </w:rPr>
          <m:t>S</m:t>
        </m:r>
      </m:oMath>
      <w:r>
        <w:rPr>
          <w:rFonts w:hAnsi="DejaVu Math TeX Gyre" w:eastAsiaTheme="minorEastAsia"/>
          <w:lang w:val="pt-PT"/>
        </w:rPr>
        <w:t xml:space="preserve"> é definida por Gordon, McBride e Zehe (2002) como:</w:t>
      </w:r>
    </w:p>
    <w:p>
      <w:pPr>
        <w:pStyle w:val="29"/>
        <w:numPr>
          <w:ilvl w:val="0"/>
          <w:numId w:val="6"/>
        </w:numPr>
        <w:spacing w:line="276" w:lineRule="auto"/>
        <w:rPr>
          <w:rFonts w:hAnsi="DejaVu Math TeX Gyre" w:eastAsiaTheme="minorEastAsia"/>
          <w:lang w:val="pt-PT"/>
        </w:rPr>
      </w:pPr>
      <m:oMath>
        <m:r>
          <m:rPr/>
          <w:rPr>
            <w:rFonts w:ascii="Cambria Math" w:hAnsi="Cambria Math" w:eastAsiaTheme="minorEastAsia"/>
            <w:lang w:val="pt-PT"/>
          </w:rPr>
          <m:t>S=</m:t>
        </m:r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R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'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  <m:d>
          <m:dPr>
            <m:ctrlPr>
              <w:rPr>
                <w:rFonts w:ascii="Cambria Math" w:hAnsi="Cambria Math" w:eastAsiaTheme="minorEastAsia"/>
                <w:i/>
                <w:lang w:val="pt-PT"/>
              </w:rPr>
            </m:ctrlPr>
          </m:dPr>
          <m:e>
            <m:r>
              <m:rPr/>
              <w:rPr>
                <w:rFonts w:ascii="Cambria Math" w:hAnsi="Cambria Math" w:eastAsiaTheme="minorEastAsia"/>
                <w:lang w:val="pt-PT"/>
              </w:rPr>
              <m:t>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lang w:val="pt-PT"/>
              </w:rPr>
              <m:t>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a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T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3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Theme="minorEastAsia"/>
                <w:lang w:val="pt-PT"/>
              </w:rPr>
              <m:t>ln⁡</m:t>
            </m:r>
            <m:r>
              <m:rPr/>
              <w:rPr>
                <w:rFonts w:ascii="Cambria Math" w:hAnsi="Cambria Math" w:eastAsiaTheme="minorEastAsia"/>
                <w:lang w:val="pt-PT"/>
              </w:rPr>
              <m:t>(T)+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4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 w:eastAsiaTheme="minorEastAsia"/>
                <w:lang w:val="pt-PT"/>
              </w:rPr>
              <m:t>T+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5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f>
              <m:f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6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f>
              <m:f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3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3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7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f>
              <m:f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lang w:val="pt-PT"/>
                      </w:rPr>
                      <m:t>4</m:t>
                    </m:r>
                    <m:ctrlPr>
                      <w:rPr>
                        <w:rFonts w:ascii="Cambria Math" w:hAnsi="Cambria Math" w:eastAsiaTheme="minorEastAsia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4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pt-PT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</m:d>
      </m:oMath>
    </w:p>
    <w:p>
      <w:pPr>
        <w:spacing w:line="276" w:lineRule="auto"/>
        <w:rPr>
          <w:sz w:val="23"/>
          <w:szCs w:val="23"/>
        </w:rPr>
      </w:pPr>
      <w:r>
        <w:rPr>
          <w:rFonts w:hAnsi="DejaVu Math TeX Gyre" w:eastAsiaTheme="minorEastAsia"/>
          <w:lang w:val="pt-PT"/>
        </w:rPr>
        <w:t xml:space="preserve">Segundo </w:t>
      </w:r>
      <w:r>
        <w:rPr>
          <w:sz w:val="23"/>
          <w:szCs w:val="23"/>
        </w:rPr>
        <w:t>Boles e Çengel (2006):</w:t>
      </w:r>
    </w:p>
    <w:p>
      <w:pPr>
        <w:pStyle w:val="29"/>
        <w:numPr>
          <w:ilvl w:val="0"/>
          <w:numId w:val="8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eastAsiaTheme="minorEastAsia"/>
          <w:lang w:val="pt-PT"/>
        </w:rPr>
        <w:t xml:space="preserve">Quando </w:t>
      </w:r>
      <m:oMath>
        <m:r>
          <m:rPr/>
          <w:rPr>
            <w:rFonts w:ascii="Cambria Math" w:hAnsi="Cambria Math" w:eastAsiaTheme="minorEastAsia"/>
            <w:lang w:val="pt-PT"/>
          </w:rPr>
          <m:t>kp&gt;0,001</m:t>
        </m:r>
      </m:oMath>
      <w:r>
        <w:rPr>
          <w:rFonts w:hAnsi="DejaVu Math TeX Gyre" w:eastAsiaTheme="minorEastAsia"/>
          <w:lang w:val="pt-PT"/>
        </w:rPr>
        <w:t xml:space="preserve"> a reação tende a conclusão</w:t>
      </w:r>
    </w:p>
    <w:p>
      <w:pPr>
        <w:pStyle w:val="29"/>
        <w:numPr>
          <w:ilvl w:val="0"/>
          <w:numId w:val="8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Quando  </w:t>
      </w:r>
      <m:oMath>
        <m:r>
          <m:rPr/>
          <w:rPr>
            <w:rFonts w:ascii="Cambria Math" w:hAnsi="Cambria Math" w:eastAsiaTheme="minorEastAsia"/>
            <w:lang w:val="pt-PT"/>
          </w:rPr>
          <m:t>kp&lt;0,001</m:t>
        </m:r>
      </m:oMath>
      <w:r>
        <w:rPr>
          <w:rFonts w:hAnsi="DejaVu Math TeX Gyre" w:eastAsiaTheme="minorEastAsia"/>
          <w:lang w:val="pt-PT"/>
        </w:rPr>
        <w:t xml:space="preserve"> a reação não irá ocorrer</w:t>
      </w: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spacing w:line="276" w:lineRule="auto"/>
        <w:rPr>
          <w:rFonts w:hAnsi="DejaVu Math TeX Gyre" w:eastAsiaTheme="minorEastAsia"/>
          <w:lang w:val="pt-PT"/>
        </w:rPr>
      </w:pPr>
    </w:p>
    <w:p>
      <w:pPr>
        <w:pStyle w:val="3"/>
        <w:numPr>
          <w:ilvl w:val="1"/>
          <w:numId w:val="1"/>
        </w:numPr>
      </w:pPr>
      <w:r>
        <w:t>REAÇÕES DE DISSOCIAÇÃO CONSIDERADAS</w:t>
      </w:r>
    </w:p>
    <w:p>
      <w:p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No Rocketgine são consideradas as seguintes reações de dissociação: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2CO2↔2CO+O2 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1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co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co2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  <w:r>
        <w:rPr>
          <w:rFonts w:ascii="Cambria Math" w:hAnsi="Cambria Math"/>
          <w:lang w:val="pt-PT"/>
        </w:rPr>
        <w:t xml:space="preserve"> 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/>
          <w:rPr>
            <w:rFonts w:ascii="Cambria Math" w:hAnsi="Cambria Math"/>
            <w:lang w:val="pt-PT"/>
          </w:rPr>
          <m:t>2</m:t>
        </m:r>
        <m:r>
          <m:rPr>
            <m:sty m:val="p"/>
          </m:rPr>
          <w:rPr>
            <w:rFonts w:ascii="Cambria Math" w:hAnsi="Cambria Math"/>
            <w:lang w:val="pt-PT"/>
          </w:rPr>
          <m:t>H2O↔2</m:t>
        </m:r>
        <m:sSub>
          <m:sSubPr>
            <m:ctrlPr>
              <w:rPr>
                <w:rFonts w:ascii="Cambria Math" w:hAnsi="Cambria Math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H</m:t>
            </m:r>
            <m:ctrlPr>
              <w:rPr>
                <w:rFonts w:ascii="Cambria Math" w:hAnsi="Cambria Math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lang w:val="pt-PT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lang w:val="pt-PT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pt-PT"/>
          </w:rPr>
          <m:t>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ℎ2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  <w:r>
        <w:rPr>
          <w:rFonts w:ascii="Cambria Math" w:hAnsi="Cambria Math"/>
          <w:lang w:val="pt-PT"/>
        </w:rPr>
        <w:t xml:space="preserve"> 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/>
          <w:rPr>
            <w:rFonts w:ascii="Cambria Math" w:hAnsi="Cambria Math"/>
            <w:lang w:val="pt-PT"/>
          </w:rPr>
          <m:t>2</m:t>
        </m:r>
        <m:r>
          <m:rPr>
            <m:sty m:val="p"/>
          </m:rPr>
          <w:rPr>
            <w:rFonts w:ascii="Cambria Math" w:hAnsi="Cambria Math"/>
            <w:lang w:val="pt-PT"/>
          </w:rPr>
          <m:t>H2O↔</m:t>
        </m:r>
        <m:sSub>
          <m:sSubPr>
            <m:ctrlPr>
              <w:rPr>
                <w:rFonts w:ascii="Cambria Math" w:hAnsi="Cambria Math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H</m:t>
            </m:r>
            <m:ctrlPr>
              <w:rPr>
                <w:rFonts w:ascii="Cambria Math" w:hAnsi="Cambria Math"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lang w:val="pt-PT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pt-PT"/>
          </w:rPr>
          <m:t>+2OH∴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3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oℎ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ℎ2o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  <w:r>
        <w:rPr>
          <w:rFonts w:ascii="Cambria Math" w:hAnsi="Cambria Math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OH↔H+O 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4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oℎ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  <w:r>
        <w:rPr>
          <w:rFonts w:ascii="Cambria Math" w:hAnsi="Cambria Math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H2↔2H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5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 xml:space="preserve">γ </m:t>
        </m:r>
      </m:oMath>
      <w:r>
        <w:rPr>
          <w:rFonts w:ascii="Cambria Math" w:hAnsi="Cambria Math"/>
          <w:lang w:val="pt-PT"/>
        </w:rPr>
        <w:tab/>
      </w:r>
      <w:r>
        <w:rPr>
          <w:rFonts w:ascii="Cambria Math" w:hAnsi="Cambria Math"/>
          <w:lang w:val="pt-PT"/>
        </w:rPr>
        <w:tab/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O2↔2O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6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 xml:space="preserve">γ  </m:t>
        </m:r>
      </m:oMath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N2↔2N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7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n2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</w:p>
    <w:p>
      <w:pPr>
        <w:rPr>
          <w:lang w:val="pt-PT"/>
        </w:rPr>
      </w:pPr>
      <w:r>
        <w:rPr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 da equação 29: 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>
            <m:ctrlPr>
              <w:rPr>
                <w:rFonts w:ascii="Cambria Math" w:hAnsi="Cambria Math"/>
                <w:i/>
                <w:lang w:val="pt-PT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o2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lang w:val="pt-PT"/>
                  </w:rPr>
                  <m:t>γ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den>
            </m:f>
            <m:ctrlPr>
              <w:rPr>
                <w:rFonts w:ascii="Cambria Math" w:hAnsi="Cambria Math"/>
                <w:i/>
                <w:lang w:val="pt-PT"/>
              </w:rPr>
            </m:ctrlPr>
          </m:e>
        </m:rad>
        <m:r>
          <m:rPr/>
          <w:rPr>
            <w:rFonts w:ascii="Cambria Math" w:hAnsi="Cambria Math"/>
            <w:lang w:val="pt-PT"/>
          </w:rPr>
          <m:t xml:space="preserve">  </m:t>
        </m:r>
      </m:oMath>
    </w:p>
    <w:p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Substituindo a equação 13 na 24, e 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ascii="Cambria Math" w:hAnsi="Cambria Math" w:eastAsiaTheme="minorEastAsia"/>
          <w:lang w:val="pt-PT"/>
        </w:rPr>
        <w:t xml:space="preserve"> obtemos: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/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C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pt-PT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rad>
            <m:r>
              <m:rPr/>
              <w:rPr>
                <w:rFonts w:ascii="Cambria Math" w:hAnsi="Cambria Math"/>
                <w:lang w:val="pt-PT"/>
              </w:rPr>
              <m:t xml:space="preserve"> </m:t>
            </m:r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pt-PT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o2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lang w:val="pt-PT"/>
                  </w:rPr>
                  <m:t>γ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rad>
            <m:r>
              <m:rPr/>
              <w:rPr>
                <w:rFonts w:ascii="Cambria Math" w:hAnsi="Cambria Math"/>
                <w:lang w:val="pt-PT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pt-PT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rad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 xml:space="preserve">   </m:t>
        </m:r>
      </m:oMath>
    </w:p>
    <w:p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ascii="Cambria Math" w:hAnsi="Cambria Math" w:eastAsiaTheme="minorEastAsia"/>
          <w:lang w:val="pt-PT"/>
        </w:rPr>
        <w:t xml:space="preserve"> da equação 28: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r>
          <m:rPr/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kp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5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</m:oMath>
    </w:p>
    <w:p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ascii="Cambria Math" w:hAnsi="Cambria Math" w:eastAsiaTheme="minorEastAsia"/>
          <w:lang w:val="pt-PT"/>
        </w:rPr>
        <w:t xml:space="preserve"> da equação 27: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o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kp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4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</w:p>
    <w:p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Substituindo a equação 33 e 34 na 14, e 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ascii="Cambria Math" w:hAnsi="Cambria Math" w:eastAsiaTheme="minorEastAsia"/>
          <w:lang w:val="pt-PT"/>
        </w:rPr>
        <w:t xml:space="preserve"> obtemos: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H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r>
              <m:rPr/>
              <w:rPr>
                <w:rFonts w:ascii="Cambria Math" w:hAnsi="Cambria Math"/>
                <w:lang w:val="pt-PT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/>
                <w:lang w:val="pt-PT"/>
              </w:rPr>
              <m:t>γ−2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/>
                                    <w:lang w:val="pt-PT"/>
                                  </w:rPr>
                                  <m:t>'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pt-PT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pt-PT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kp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lang w:val="pt-PT"/>
                  </w:rPr>
                  <m:t>γ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d>
            <m:r>
              <m:rPr/>
              <w:rPr>
                <w:rFonts w:ascii="Cambria Math" w:hAnsi="Cambria Math"/>
                <w:lang w:val="pt-PT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i/>
                <w:lang w:val="pt-PT"/>
              </w:rPr>
            </m:ctrlPr>
          </m:den>
        </m:f>
      </m:oMath>
      <w:bookmarkStart w:id="3" w:name="_GoBack"/>
      <w:bookmarkEnd w:id="3"/>
    </w:p>
    <w:p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Substituindo a equação 34 e 35 na 15, </w:t>
      </w:r>
      <w:r>
        <w:rPr>
          <w:rFonts w:ascii="Cambria Math" w:hAnsi="Cambria Math" w:eastAsiaTheme="minorEastAsia"/>
          <w:lang w:val="pt-PT"/>
        </w:rPr>
        <w:t>obtemos: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ℎ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i/>
                <w:lang w:val="pt-PT"/>
              </w:rPr>
            </m:ctrlP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lang w:val="pt-PT"/>
                  </w:rPr>
                  <m:t>γ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den>
            </m:f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m:rPr/>
          <w:rPr>
            <w:rFonts w:hint="default" w:ascii="DejaVu Math TeX Gyre" w:hAnsi="DejaVu Math TeX Gyre"/>
            <w:lang w:val="pt-PT"/>
          </w:rPr>
          <m:t>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lang w:val="pt-PT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lang w:val="pt-PT"/>
                  </w:rPr>
                  <m:t>γ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kp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den>
            </m:f>
            <m:r>
              <m:rPr/>
              <w:rPr>
                <w:rFonts w:ascii="Cambria Math" w:hAnsi="Cambria Math"/>
                <w:lang w:val="pt-PT"/>
              </w:rPr>
              <m:t>−0,5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m:rPr/>
          <w:rPr>
            <w:rFonts w:hint="default" w:ascii="DejaVu Math TeX Gyre" w:hAnsi="DejaVu Math TeX Gyre"/>
            <w:lang w:val="pt-PT"/>
          </w:rPr>
          <m:t>−</m:t>
        </m:r>
        <m:r>
          <m:rPr/>
          <w:rPr>
            <w:rFonts w:ascii="Cambria Math" w:hAnsi="Cambria Math"/>
            <w:lang w:val="pt-PT"/>
          </w:rPr>
          <m:t>0,5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H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hint="default" w:ascii="DejaVu Math TeX Gyre" w:hAnsi="DejaVu Math TeX Gyre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hint="default" w:ascii="DejaVu Math TeX Gyre" w:hAnsi="DejaVu Math TeX Gyre"/>
            <w:lang w:val="pt-PT"/>
          </w:rPr>
          <m:t>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hint="default" w:ascii="DejaVu Math TeX Gyre" w:hAnsi="DejaVu Math TeX Gyre"/>
            <w:lang w:val="pt-PT"/>
          </w:rPr>
          <m:t>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hint="default" w:ascii="DejaVu Math TeX Gyre" w:hAnsi="DejaVu Math TeX Gyre"/>
            <w:lang w:val="pt-PT"/>
          </w:rPr>
          <m:t>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hint="default" w:ascii="DejaVu Math TeX Gyre" w:hAnsi="DejaVu Math TeX Gyre"/>
            <w:lang w:val="pt-PT"/>
          </w:rPr>
          <m:t>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hint="default" w:ascii="DejaVu Math TeX Gyre" w:hAnsi="DejaVu Math TeX Gyre"/>
            <w:lang w:val="pt-PT"/>
          </w:rPr>
          <m:t>=0</m:t>
        </m:r>
      </m:oMath>
    </w:p>
    <w:p>
      <w:pPr>
        <w:spacing w:line="276" w:lineRule="auto"/>
        <w:rPr>
          <w:rFonts w:ascii="Cambria Math" w:hAnsi="Cambria Math" w:eastAsiaTheme="minorEastAsia"/>
          <w:lang w:val="pt-PT"/>
        </w:rPr>
      </w:pPr>
      <w:r>
        <w:rPr>
          <w:rFonts w:ascii="Cambria Math" w:hAnsi="Cambria Math" w:eastAsiaTheme="minorEastAsia"/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ascii="Cambria Math" w:hAnsi="Cambria Math" w:eastAsiaTheme="minorEastAsia"/>
          <w:lang w:val="pt-PT"/>
        </w:rPr>
        <w:t xml:space="preserve"> da equação 30: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val="pt-PT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2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pt-PT"/>
                  </w:rPr>
                  <m:t>kp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7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den>
        </m:f>
        <m:r>
          <m:rPr/>
          <w:rPr>
            <w:rFonts w:ascii="Cambria Math" w:hAnsi="Cambria Math"/>
            <w:lang w:val="pt-PT"/>
          </w:rPr>
          <m:t>γ</m:t>
        </m:r>
      </m:oMath>
    </w:p>
    <w:p>
      <w:pPr>
        <w:spacing w:line="276" w:lineRule="auto"/>
        <w:rPr>
          <w:rFonts w:ascii="Cambria Math" w:hAnsi="Cambria Math" w:eastAsiaTheme="minorEastAsia"/>
          <w:lang w:val="pt-PT"/>
        </w:rPr>
      </w:pPr>
      <w:r>
        <w:rPr>
          <w:rFonts w:ascii="Cambria Math" w:hAnsi="Cambria Math" w:eastAsiaTheme="minorEastAsia"/>
          <w:lang w:val="pt-PT"/>
        </w:rPr>
        <w:t>Substituindo a equação 37 na 16, obtemos</w:t>
      </w:r>
    </w:p>
    <w:p>
      <w:pPr>
        <w:pStyle w:val="29"/>
        <w:numPr>
          <w:ilvl w:val="0"/>
          <w:numId w:val="6"/>
        </w:numPr>
        <w:spacing w:line="276" w:lineRule="auto"/>
        <w:rPr>
          <w:rFonts w:ascii="Cambria Math" w:hAnsi="Cambria Math"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val="pt-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val="pt-PT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b>
            </m:sSub>
            <m:ctrlPr>
              <w:rPr>
                <w:rFonts w:ascii="Cambria Math" w:hAnsi="Cambria Math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/>
                <w:lang w:val="pt-PT"/>
              </w:rPr>
              <m:t>2</m:t>
            </m:r>
            <m:ctrlPr>
              <w:rPr>
                <w:rFonts w:ascii="Cambria Math" w:hAnsi="Cambria Math"/>
                <w:i/>
                <w:lang w:val="pt-PT"/>
              </w:rPr>
            </m:ctrlPr>
          </m:sup>
        </m:sSup>
        <m:r>
          <m:rPr/>
          <w:rPr>
            <w:rFonts w:ascii="Cambria Math" w:hAnsi="Cambria Math"/>
            <w:lang w:val="pt-PT"/>
          </w:rPr>
          <m:t>γ 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0,5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7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−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0,5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kp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7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m:rPr/>
          <w:rPr>
            <w:rFonts w:ascii="Cambria Math" w:hAnsi="Cambria Math"/>
            <w:lang w:val="pt-PT"/>
          </w:rPr>
          <m:t>=0</m:t>
        </m:r>
      </m:oMath>
    </w:p>
    <w:p>
      <w:pPr>
        <w:pStyle w:val="29"/>
        <w:spacing w:line="276" w:lineRule="auto"/>
        <w:ind w:left="1287" w:firstLine="0"/>
        <w:rPr>
          <w:rFonts w:ascii="Cambria Math" w:hAnsi="Cambria Math" w:eastAsiaTheme="minorEastAsia"/>
          <w:lang w:val="pt-PT"/>
        </w:rPr>
      </w:pPr>
    </w:p>
    <w:p>
      <w:pPr>
        <w:spacing w:line="276" w:lineRule="auto"/>
        <w:rPr>
          <w:rFonts w:ascii="Cambria Math" w:hAnsi="Cambria Math" w:eastAsiaTheme="minorEastAsia"/>
          <w:lang w:val="pt-PT"/>
        </w:rPr>
      </w:pPr>
    </w:p>
    <w:p>
      <w:pPr>
        <w:spacing w:line="276" w:lineRule="auto"/>
        <w:rPr>
          <w:rFonts w:ascii="Cambria Math" w:hAnsi="Cambria Math" w:eastAsiaTheme="minorEastAsia"/>
          <w:lang w:val="pt-PT"/>
        </w:rPr>
      </w:pPr>
    </w:p>
    <w:p>
      <w:pPr>
        <w:spacing w:line="276" w:lineRule="auto"/>
        <w:rPr>
          <w:rFonts w:ascii="Cambria Math" w:hAnsi="Cambria Math" w:eastAsiaTheme="minorEastAsia"/>
          <w:lang w:val="pt-PT"/>
        </w:rPr>
      </w:pPr>
    </w:p>
    <w:p>
      <w:pPr>
        <w:pStyle w:val="3"/>
        <w:numPr>
          <w:ilvl w:val="1"/>
          <w:numId w:val="1"/>
        </w:numPr>
      </w:pPr>
      <w:r>
        <w:t>PROCESSO DE RESOLUÇÃO DA REAÇÃO DE DISSOCIAÇÃO</w:t>
      </w:r>
    </w:p>
    <w:p>
      <w:pPr>
        <w:pStyle w:val="29"/>
        <w:numPr>
          <w:ilvl w:val="0"/>
          <w:numId w:val="9"/>
        </w:numPr>
      </w:pPr>
      <w:r>
        <w:t xml:space="preserve">Dados de entrada: </w:t>
      </w:r>
      <m:oMath>
        <m:r>
          <m:rPr/>
          <w:rPr>
            <w:rFonts w:ascii="Cambria Math" w:hAnsi="Cambria Math" w:eastAsiaTheme="minorEastAsia"/>
            <w:lang w:val="pt-PT"/>
          </w:rPr>
          <m:t>ϕ</m:t>
        </m:r>
      </m:oMath>
      <w:r>
        <w:rPr>
          <w:rFonts w:eastAsiaTheme="minorEastAsia"/>
          <w:lang w:val="pt-PT"/>
        </w:rPr>
        <w:t xml:space="preserve"> e </w:t>
      </w:r>
      <m:oMath>
        <m:r>
          <m:rPr/>
          <w:rPr>
            <w:rFonts w:ascii="Cambria Math" w:hAnsi="Cambria Math" w:eastAsiaTheme="minorEastAsia"/>
            <w:lang w:val="pt-PT"/>
          </w:rPr>
          <m:t>p</m:t>
        </m:r>
      </m:oMath>
      <w:r>
        <w:rPr>
          <w:rFonts w:eastAsiaTheme="minorEastAsia"/>
          <w:lang w:val="pt-PT"/>
        </w:rPr>
        <w:t xml:space="preserve"> </w:t>
      </w:r>
    </w:p>
    <w:p>
      <w:pPr>
        <w:pStyle w:val="29"/>
        <w:numPr>
          <w:ilvl w:val="0"/>
          <w:numId w:val="9"/>
        </w:numPr>
      </w:pPr>
      <w:r>
        <w:t>Calcular Reação Estequiométrica</w:t>
      </w:r>
    </w:p>
    <w:p>
      <w:pPr>
        <w:pStyle w:val="29"/>
        <w:numPr>
          <w:ilvl w:val="0"/>
          <w:numId w:val="10"/>
        </w:numPr>
      </w:pPr>
      <w:r>
        <w:t xml:space="preserve">Calcular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OC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estequiometrica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</m:oMath>
      <w:r>
        <w:t xml:space="preserve"> e </w:t>
      </w:r>
      <m:oMath>
        <m:r>
          <m:rPr/>
          <w:rPr>
            <w:rFonts w:ascii="Cambria Math" w:hAnsi="Cambria Math" w:eastAsiaTheme="minorEastAsia"/>
            <w:lang w:val="pt-PT"/>
          </w:rPr>
          <m:t>OC</m:t>
        </m:r>
      </m:oMath>
    </w:p>
    <w:p>
      <w:pPr>
        <w:pStyle w:val="29"/>
        <w:numPr>
          <w:ilvl w:val="0"/>
          <w:numId w:val="10"/>
        </w:numPr>
      </w:pPr>
      <w:r>
        <w:t xml:space="preserve">Calcular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oxid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pt-PT"/>
              </w:rPr>
              <m:t>comb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reagentes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oxid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/>
              <w:rPr>
                <w:rFonts w:ascii="Cambria Math" w:hAnsi="Cambria Math"/>
                <w:lang w:val="pt-PT"/>
              </w:rPr>
              <m:t>n'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comb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todas as constantes de dissociação </w:t>
      </w:r>
      <m:oMath>
        <m:r>
          <m:rPr/>
          <w:rPr>
            <w:rFonts w:ascii="Cambria Math" w:hAnsi="Cambria Math" w:eastAsiaTheme="minorEastAsia"/>
            <w:lang w:val="pt-PT"/>
          </w:rPr>
          <m:t>kp</m:t>
        </m:r>
      </m:oMath>
      <w:r>
        <w:rPr>
          <w:rFonts w:hAnsi="DejaVu Math TeX Gyre" w:eastAsiaTheme="minorEastAsia"/>
          <w:lang w:val="pt-PT"/>
        </w:rPr>
        <w:t xml:space="preserve"> utilizando a equação 20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Toda a resoluação será considerada em frações molares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valor de </w:t>
      </w:r>
      <m:oMath>
        <m:r>
          <m:rPr/>
          <w:rPr>
            <w:rFonts w:ascii="Cambria Math" w:hAnsi="Cambria Math"/>
            <w:lang w:val="pt-PT"/>
          </w:rPr>
          <m:t>γ</m:t>
        </m:r>
      </m:oMath>
      <w:r>
        <w:rPr>
          <w:rFonts w:hAnsi="DejaVu Math TeX Gyre" w:eastAsiaTheme="minorEastAsia"/>
          <w:lang w:val="pt-PT"/>
        </w:rPr>
        <w:t xml:space="preserve"> com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pt-PT"/>
              </w:rPr>
            </m:ctrlPr>
          </m:sSupPr>
          <m:e>
            <m:r>
              <m:rPr/>
              <w:rPr>
                <w:rFonts w:ascii="Cambria Math" w:hAnsi="Cambria Math" w:eastAsiaTheme="minorEastAsia"/>
                <w:lang w:val="pt-PT"/>
              </w:rPr>
              <m:t>N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e>
          <m:sup>
            <m:r>
              <m:rPr/>
              <w:rPr>
                <w:rFonts w:ascii="Cambria Math" w:hAnsi="Cambria Math" w:eastAsiaTheme="minorEastAsia"/>
                <w:lang w:val="pt-PT"/>
              </w:rPr>
              <m:t>'</m:t>
            </m:r>
            <m:ctrlPr>
              <w:rPr>
                <w:rFonts w:ascii="Cambria Math" w:hAnsi="Cambria Math" w:eastAsiaTheme="minorEastAsia"/>
                <w:i/>
                <w:lang w:val="pt-PT"/>
              </w:rPr>
            </m:ctrlPr>
          </m:sup>
        </m:sSup>
        <m:r>
          <m:rPr/>
          <w:rPr>
            <w:rFonts w:ascii="Cambria Math" w:hAnsi="Cambria Math" w:eastAsiaTheme="minorEastAsia"/>
            <w:lang w:val="pt-PT"/>
          </w:rPr>
          <m:t>=1</m:t>
        </m:r>
      </m:oMath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b/>
          <w:bCs/>
          <w:lang w:val="pt-PT"/>
        </w:rPr>
      </w:pPr>
      <w:r>
        <w:rPr>
          <w:rFonts w:hAnsi="DejaVu Math TeX Gyre" w:eastAsiaTheme="minorEastAsia"/>
          <w:b/>
          <w:bCs/>
          <w:lang w:val="pt-PT"/>
        </w:rPr>
        <w:t xml:space="preserve">Estipular valor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o2</m:t>
            </m: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ub>
        </m:sSub>
      </m:oMath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31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32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co2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13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36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33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oℎ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equalção 34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ℎ2o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35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38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m:rPr/>
              <w:rPr>
                <w:rFonts w:ascii="Cambria Math" w:hAnsi="Cambria Math"/>
                <w:lang w:val="pt-PT"/>
              </w:rPr>
              <m:t>n2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hAnsi="DejaVu Math TeX Gyre" w:eastAsiaTheme="minorEastAsia"/>
          <w:lang w:val="pt-PT"/>
        </w:rPr>
        <w:t xml:space="preserve"> pela equação 37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Calcular a entalpia dos produtos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lang w:val="pt-PT"/>
        </w:rPr>
      </w:pPr>
      <w:r>
        <w:rPr>
          <w:rFonts w:hAnsi="DejaVu Math TeX Gyre" w:eastAsiaTheme="minorEastAsia"/>
          <w:lang w:val="pt-PT"/>
        </w:rPr>
        <w:t>Calcular a entalpia dos reagentes</w:t>
      </w:r>
    </w:p>
    <w:p>
      <w:pPr>
        <w:pStyle w:val="29"/>
        <w:numPr>
          <w:ilvl w:val="0"/>
          <w:numId w:val="10"/>
        </w:numPr>
        <w:spacing w:line="276" w:lineRule="auto"/>
        <w:rPr>
          <w:rFonts w:hAnsi="DejaVu Math TeX Gyre" w:eastAsiaTheme="minorEastAsia"/>
          <w:b/>
          <w:bCs/>
          <w:lang w:val="pt-PT"/>
        </w:rPr>
      </w:pPr>
      <w:r>
        <w:rPr>
          <w:rFonts w:hAnsi="DejaVu Math TeX Gyre" w:eastAsiaTheme="minorEastAsia"/>
          <w:lang w:val="pt-PT"/>
        </w:rPr>
        <w:t xml:space="preserve">Se as entalpias não forem igual, retorne para </w:t>
      </w:r>
      <w:r>
        <w:rPr>
          <w:rFonts w:hAnsi="DejaVu Math TeX Gyre" w:eastAsiaTheme="minorEastAsia"/>
          <w:b/>
          <w:bCs/>
          <w:lang w:val="pt-PT"/>
        </w:rPr>
        <w:t xml:space="preserve">Estipular valor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pt-PT"/>
                  </w:rPr>
                  <m:t>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pt-PT"/>
                  </w:rPr>
                  <m:t>'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sup>
            </m:sSup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o2</m:t>
            </m: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ub>
        </m:sSub>
      </m:oMath>
    </w:p>
    <w:p>
      <w:pPr>
        <w:pStyle w:val="10"/>
        <w:ind w:firstLine="0"/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758815" cy="3790950"/>
            <wp:effectExtent l="0" t="0" r="133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59120" cy="4283075"/>
            <wp:effectExtent l="0" t="0" r="177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851" w:right="851" w:bottom="851" w:left="851" w:header="284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9503138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206" w:type="dxa"/>
      <w:jc w:val="center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09"/>
      <w:gridCol w:w="3746"/>
      <w:gridCol w:w="2551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3" w:hRule="atLeast"/>
        <w:jc w:val="center"/>
      </w:trPr>
      <w:tc>
        <w:tcPr>
          <w:tcW w:w="10206" w:type="dxa"/>
          <w:gridSpan w:val="3"/>
          <w:tcBorders>
            <w:top w:val="single" w:color="auto" w:sz="12" w:space="0"/>
            <w:bottom w:val="nil"/>
          </w:tcBorders>
          <w:shd w:val="clear" w:color="auto" w:fill="auto"/>
          <w:vAlign w:val="center"/>
        </w:tcPr>
        <w:p>
          <w:pPr>
            <w:pStyle w:val="6"/>
            <w:ind w:firstLine="0"/>
            <w:jc w:val="center"/>
            <w:rPr>
              <w:rFonts w:eastAsia="Times New Roman" w:cs="Times New Roman"/>
              <w:b w:val="0"/>
              <w:bCs/>
              <w:sz w:val="24"/>
              <w:szCs w:val="24"/>
              <w:lang w:eastAsia="pt-BR"/>
            </w:rPr>
          </w:pPr>
          <w:bookmarkStart w:id="2" w:name="_Hlk116626198"/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7" w:hRule="atLeast"/>
        <w:jc w:val="center"/>
      </w:trPr>
      <w:tc>
        <w:tcPr>
          <w:tcW w:w="10206" w:type="dxa"/>
          <w:gridSpan w:val="3"/>
          <w:tcBorders>
            <w:top w:val="nil"/>
          </w:tcBorders>
          <w:shd w:val="clear" w:color="auto" w:fill="auto"/>
          <w:vAlign w:val="center"/>
        </w:tcPr>
        <w:p>
          <w:pPr>
            <w:pStyle w:val="2"/>
            <w:jc w:val="center"/>
            <w:rPr>
              <w:rFonts w:ascii="Consolas" w:hAnsi="Consolas"/>
              <w:szCs w:val="24"/>
              <w:lang w:eastAsia="pt-BR"/>
            </w:rPr>
          </w:pPr>
          <w:r>
            <w:rPr>
              <w:lang w:eastAsia="pt-BR"/>
            </w:rPr>
            <w:t>ROCKETGINE</w:t>
          </w: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1" w:hRule="atLeast"/>
        <w:jc w:val="center"/>
      </w:trPr>
      <w:tc>
        <w:tcPr>
          <w:tcW w:w="3909" w:type="dxa"/>
          <w:tcBorders>
            <w:top w:val="nil"/>
            <w:bottom w:val="single" w:color="auto" w:sz="12" w:space="0"/>
          </w:tcBorders>
          <w:shd w:val="clear" w:color="auto" w:fill="auto"/>
          <w:vAlign w:val="center"/>
        </w:tcPr>
        <w:p>
          <w:pPr>
            <w:ind w:firstLine="0"/>
            <w:jc w:val="left"/>
            <w:rPr>
              <w:rFonts w:eastAsia="Times New Roman" w:asciiTheme="minorHAnsi" w:hAnsiTheme="minorHAnsi" w:cstheme="minorHAnsi"/>
              <w:szCs w:val="24"/>
              <w:lang w:eastAsia="pt-BR"/>
            </w:rPr>
          </w:pPr>
          <w:r>
            <w:rPr>
              <w:rFonts w:eastAsia="Times New Roman" w:asciiTheme="minorHAnsi" w:hAnsiTheme="minorHAnsi" w:cstheme="minorHAnsi"/>
              <w:szCs w:val="24"/>
              <w:lang w:eastAsia="pt-BR"/>
            </w:rPr>
            <w:t>Leonardo H. M. Kist</w:t>
          </w:r>
        </w:p>
      </w:tc>
      <w:tc>
        <w:tcPr>
          <w:tcW w:w="3746" w:type="dxa"/>
          <w:tcBorders>
            <w:top w:val="nil"/>
            <w:bottom w:val="single" w:color="auto" w:sz="12" w:space="0"/>
            <w:right w:val="nil"/>
          </w:tcBorders>
          <w:shd w:val="clear" w:color="auto" w:fill="auto"/>
          <w:vAlign w:val="center"/>
        </w:tcPr>
        <w:p>
          <w:pPr>
            <w:ind w:firstLine="0"/>
            <w:jc w:val="left"/>
            <w:rPr>
              <w:rFonts w:eastAsia="Times New Roman" w:asciiTheme="minorHAnsi" w:hAnsiTheme="minorHAnsi" w:cstheme="minorHAnsi"/>
              <w:szCs w:val="24"/>
              <w:lang w:eastAsia="pt-BR"/>
            </w:rPr>
          </w:pPr>
        </w:p>
      </w:tc>
      <w:tc>
        <w:tcPr>
          <w:tcW w:w="2551" w:type="dxa"/>
          <w:tcBorders>
            <w:top w:val="nil"/>
            <w:left w:val="nil"/>
            <w:bottom w:val="single" w:color="auto" w:sz="12" w:space="0"/>
          </w:tcBorders>
          <w:shd w:val="clear" w:color="auto" w:fill="auto"/>
          <w:vAlign w:val="center"/>
        </w:tcPr>
        <w:p>
          <w:pPr>
            <w:ind w:firstLine="0"/>
            <w:jc w:val="center"/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</w:pP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fldChar w:fldCharType="begin"/>
          </w: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instrText xml:space="preserve"> DOCPROPERTY  NI_DATA  \* MERGEFORMAT </w:instrText>
          </w: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fldChar w:fldCharType="separate"/>
          </w: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t>18/08/</w:t>
          </w: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fldChar w:fldCharType="end"/>
          </w:r>
          <w:r>
            <w:rPr>
              <w:rFonts w:eastAsia="Times New Roman" w:asciiTheme="minorHAnsi" w:hAnsiTheme="minorHAnsi" w:cstheme="minorHAnsi"/>
              <w:bCs/>
              <w:szCs w:val="24"/>
              <w:lang w:eastAsia="pt-BR"/>
            </w:rPr>
            <w:t>2023</w:t>
          </w:r>
        </w:p>
      </w:tc>
    </w:tr>
    <w:bookmarkEnd w:id="2"/>
  </w:tbl>
  <w:p>
    <w:pPr>
      <w:spacing w:line="12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A13C2"/>
    <w:multiLevelType w:val="multilevel"/>
    <w:tmpl w:val="1F4A13C2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35EC523C"/>
    <w:multiLevelType w:val="multilevel"/>
    <w:tmpl w:val="35EC523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F2618C"/>
    <w:multiLevelType w:val="multilevel"/>
    <w:tmpl w:val="3CF2618C"/>
    <w:lvl w:ilvl="0" w:tentative="0">
      <w:start w:val="1"/>
      <w:numFmt w:val="decimal"/>
      <w:lvlText w:val="%1."/>
      <w:lvlJc w:val="left"/>
      <w:pPr>
        <w:ind w:left="1287" w:hanging="360"/>
      </w:pPr>
      <w:rPr>
        <w:b w:val="0"/>
        <w:bCs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E3E17EF"/>
    <w:multiLevelType w:val="multilevel"/>
    <w:tmpl w:val="3E3E17EF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49731638"/>
    <w:multiLevelType w:val="multilevel"/>
    <w:tmpl w:val="49731638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509707C4"/>
    <w:multiLevelType w:val="multilevel"/>
    <w:tmpl w:val="509707C4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>
    <w:nsid w:val="60D51BDA"/>
    <w:multiLevelType w:val="multilevel"/>
    <w:tmpl w:val="60D51BDA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>
    <w:nsid w:val="6FAC7112"/>
    <w:multiLevelType w:val="multilevel"/>
    <w:tmpl w:val="6FAC7112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>
    <w:nsid w:val="766E337A"/>
    <w:multiLevelType w:val="multilevel"/>
    <w:tmpl w:val="766E337A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9">
    <w:nsid w:val="7DBE389C"/>
    <w:multiLevelType w:val="multilevel"/>
    <w:tmpl w:val="7DBE389C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9A"/>
    <w:rsid w:val="00002D1B"/>
    <w:rsid w:val="00004C90"/>
    <w:rsid w:val="000078AD"/>
    <w:rsid w:val="00013906"/>
    <w:rsid w:val="00017387"/>
    <w:rsid w:val="00026F35"/>
    <w:rsid w:val="00030341"/>
    <w:rsid w:val="00036D41"/>
    <w:rsid w:val="0004244B"/>
    <w:rsid w:val="00043A3D"/>
    <w:rsid w:val="0007038F"/>
    <w:rsid w:val="00085228"/>
    <w:rsid w:val="0009096A"/>
    <w:rsid w:val="000939ED"/>
    <w:rsid w:val="00097826"/>
    <w:rsid w:val="000A4899"/>
    <w:rsid w:val="000A6623"/>
    <w:rsid w:val="000B1F3A"/>
    <w:rsid w:val="000B2D7C"/>
    <w:rsid w:val="000B354E"/>
    <w:rsid w:val="000C0A13"/>
    <w:rsid w:val="000C68E6"/>
    <w:rsid w:val="000D085E"/>
    <w:rsid w:val="000D3350"/>
    <w:rsid w:val="000D3A17"/>
    <w:rsid w:val="000D5A3E"/>
    <w:rsid w:val="000D63EE"/>
    <w:rsid w:val="000E4450"/>
    <w:rsid w:val="0010403C"/>
    <w:rsid w:val="00105B1C"/>
    <w:rsid w:val="00106363"/>
    <w:rsid w:val="0011196A"/>
    <w:rsid w:val="0011432E"/>
    <w:rsid w:val="00120F3C"/>
    <w:rsid w:val="00125363"/>
    <w:rsid w:val="00127B53"/>
    <w:rsid w:val="001360AD"/>
    <w:rsid w:val="00136A87"/>
    <w:rsid w:val="001451A1"/>
    <w:rsid w:val="001510CA"/>
    <w:rsid w:val="001561A9"/>
    <w:rsid w:val="00160108"/>
    <w:rsid w:val="00163E48"/>
    <w:rsid w:val="001740A8"/>
    <w:rsid w:val="00175999"/>
    <w:rsid w:val="00182E0F"/>
    <w:rsid w:val="001868E4"/>
    <w:rsid w:val="0019104C"/>
    <w:rsid w:val="001A7BBB"/>
    <w:rsid w:val="001B5F07"/>
    <w:rsid w:val="001C18AD"/>
    <w:rsid w:val="001C2F46"/>
    <w:rsid w:val="001D5214"/>
    <w:rsid w:val="001E2CB5"/>
    <w:rsid w:val="001F3D92"/>
    <w:rsid w:val="0020098E"/>
    <w:rsid w:val="0020188E"/>
    <w:rsid w:val="002049D1"/>
    <w:rsid w:val="0020779E"/>
    <w:rsid w:val="00212273"/>
    <w:rsid w:val="00212832"/>
    <w:rsid w:val="00221881"/>
    <w:rsid w:val="00226501"/>
    <w:rsid w:val="002266B5"/>
    <w:rsid w:val="0024571B"/>
    <w:rsid w:val="00260DC7"/>
    <w:rsid w:val="00261DEF"/>
    <w:rsid w:val="00266016"/>
    <w:rsid w:val="002761CB"/>
    <w:rsid w:val="00284584"/>
    <w:rsid w:val="00285ECD"/>
    <w:rsid w:val="00286F56"/>
    <w:rsid w:val="00291018"/>
    <w:rsid w:val="002C023E"/>
    <w:rsid w:val="002C504F"/>
    <w:rsid w:val="002D31C6"/>
    <w:rsid w:val="002E482D"/>
    <w:rsid w:val="002F09B9"/>
    <w:rsid w:val="00303FAC"/>
    <w:rsid w:val="00314145"/>
    <w:rsid w:val="00323FEE"/>
    <w:rsid w:val="00336689"/>
    <w:rsid w:val="00345728"/>
    <w:rsid w:val="003528B8"/>
    <w:rsid w:val="0035337D"/>
    <w:rsid w:val="0036351C"/>
    <w:rsid w:val="003716C7"/>
    <w:rsid w:val="00382287"/>
    <w:rsid w:val="0038327C"/>
    <w:rsid w:val="003907E3"/>
    <w:rsid w:val="00392719"/>
    <w:rsid w:val="00396E11"/>
    <w:rsid w:val="003B232E"/>
    <w:rsid w:val="003B2906"/>
    <w:rsid w:val="003B48D3"/>
    <w:rsid w:val="003C0DEF"/>
    <w:rsid w:val="003C1F80"/>
    <w:rsid w:val="003C62D8"/>
    <w:rsid w:val="003D0376"/>
    <w:rsid w:val="003D1C65"/>
    <w:rsid w:val="003D6237"/>
    <w:rsid w:val="003E55C0"/>
    <w:rsid w:val="003E7B3D"/>
    <w:rsid w:val="003E7F8A"/>
    <w:rsid w:val="003F086C"/>
    <w:rsid w:val="003F08BB"/>
    <w:rsid w:val="003F1F85"/>
    <w:rsid w:val="004130AD"/>
    <w:rsid w:val="00416005"/>
    <w:rsid w:val="00423992"/>
    <w:rsid w:val="00425112"/>
    <w:rsid w:val="00427757"/>
    <w:rsid w:val="00431402"/>
    <w:rsid w:val="004319AF"/>
    <w:rsid w:val="00442EB9"/>
    <w:rsid w:val="004461B7"/>
    <w:rsid w:val="00460C0E"/>
    <w:rsid w:val="00460F81"/>
    <w:rsid w:val="00463EC1"/>
    <w:rsid w:val="004756CD"/>
    <w:rsid w:val="0047798F"/>
    <w:rsid w:val="0048159F"/>
    <w:rsid w:val="00481BD2"/>
    <w:rsid w:val="004931A8"/>
    <w:rsid w:val="00493C6E"/>
    <w:rsid w:val="00494FDF"/>
    <w:rsid w:val="00496CAD"/>
    <w:rsid w:val="004974FD"/>
    <w:rsid w:val="004B08A8"/>
    <w:rsid w:val="004B56B1"/>
    <w:rsid w:val="004C33E4"/>
    <w:rsid w:val="004C3C0D"/>
    <w:rsid w:val="004C4B04"/>
    <w:rsid w:val="004C7866"/>
    <w:rsid w:val="004D075C"/>
    <w:rsid w:val="004E0EED"/>
    <w:rsid w:val="004E7C20"/>
    <w:rsid w:val="00502C49"/>
    <w:rsid w:val="00504B94"/>
    <w:rsid w:val="0050627B"/>
    <w:rsid w:val="005062F7"/>
    <w:rsid w:val="00506E3D"/>
    <w:rsid w:val="00510052"/>
    <w:rsid w:val="00511C67"/>
    <w:rsid w:val="00517D07"/>
    <w:rsid w:val="00537793"/>
    <w:rsid w:val="0055111D"/>
    <w:rsid w:val="00564149"/>
    <w:rsid w:val="00565140"/>
    <w:rsid w:val="0056611B"/>
    <w:rsid w:val="00566373"/>
    <w:rsid w:val="00566D5B"/>
    <w:rsid w:val="00571097"/>
    <w:rsid w:val="00573733"/>
    <w:rsid w:val="00574AD7"/>
    <w:rsid w:val="00574B9A"/>
    <w:rsid w:val="00575344"/>
    <w:rsid w:val="00581952"/>
    <w:rsid w:val="005A2D6E"/>
    <w:rsid w:val="005A6B8D"/>
    <w:rsid w:val="005B2DB3"/>
    <w:rsid w:val="005B51A3"/>
    <w:rsid w:val="005B6321"/>
    <w:rsid w:val="005D02A8"/>
    <w:rsid w:val="005E3D01"/>
    <w:rsid w:val="005E5BAC"/>
    <w:rsid w:val="005F0A3E"/>
    <w:rsid w:val="006018DB"/>
    <w:rsid w:val="00604D07"/>
    <w:rsid w:val="00605647"/>
    <w:rsid w:val="0061471A"/>
    <w:rsid w:val="00620A3A"/>
    <w:rsid w:val="00621419"/>
    <w:rsid w:val="0063299E"/>
    <w:rsid w:val="00632B27"/>
    <w:rsid w:val="00633850"/>
    <w:rsid w:val="006361EE"/>
    <w:rsid w:val="00637FF1"/>
    <w:rsid w:val="0064365A"/>
    <w:rsid w:val="00646507"/>
    <w:rsid w:val="00653362"/>
    <w:rsid w:val="0065438B"/>
    <w:rsid w:val="00661BBC"/>
    <w:rsid w:val="006648E5"/>
    <w:rsid w:val="006665EA"/>
    <w:rsid w:val="006669E3"/>
    <w:rsid w:val="006723A5"/>
    <w:rsid w:val="006745E7"/>
    <w:rsid w:val="00682BAB"/>
    <w:rsid w:val="0068692C"/>
    <w:rsid w:val="00687CC2"/>
    <w:rsid w:val="00695550"/>
    <w:rsid w:val="006A1E7E"/>
    <w:rsid w:val="006A49D5"/>
    <w:rsid w:val="006A65D0"/>
    <w:rsid w:val="006B34DC"/>
    <w:rsid w:val="006B3F4D"/>
    <w:rsid w:val="006B5C86"/>
    <w:rsid w:val="006C3458"/>
    <w:rsid w:val="006C3A18"/>
    <w:rsid w:val="006D1B2F"/>
    <w:rsid w:val="006D349D"/>
    <w:rsid w:val="006D50E6"/>
    <w:rsid w:val="006D61F6"/>
    <w:rsid w:val="006E122C"/>
    <w:rsid w:val="006E182C"/>
    <w:rsid w:val="006E4740"/>
    <w:rsid w:val="006E6D16"/>
    <w:rsid w:val="006F041D"/>
    <w:rsid w:val="006F0C34"/>
    <w:rsid w:val="006F1497"/>
    <w:rsid w:val="006F3F18"/>
    <w:rsid w:val="00700799"/>
    <w:rsid w:val="00706B12"/>
    <w:rsid w:val="00707B37"/>
    <w:rsid w:val="00715FEE"/>
    <w:rsid w:val="00721F76"/>
    <w:rsid w:val="00735F11"/>
    <w:rsid w:val="00736E0E"/>
    <w:rsid w:val="00740138"/>
    <w:rsid w:val="00745004"/>
    <w:rsid w:val="00745482"/>
    <w:rsid w:val="00752859"/>
    <w:rsid w:val="00752BE6"/>
    <w:rsid w:val="007547D3"/>
    <w:rsid w:val="00755F28"/>
    <w:rsid w:val="00760756"/>
    <w:rsid w:val="0077174F"/>
    <w:rsid w:val="007770DF"/>
    <w:rsid w:val="00784BF8"/>
    <w:rsid w:val="00785E44"/>
    <w:rsid w:val="00791DD5"/>
    <w:rsid w:val="00794371"/>
    <w:rsid w:val="007A7691"/>
    <w:rsid w:val="007B014E"/>
    <w:rsid w:val="007B245A"/>
    <w:rsid w:val="007D5E09"/>
    <w:rsid w:val="007D7D42"/>
    <w:rsid w:val="007E47AA"/>
    <w:rsid w:val="007F6B55"/>
    <w:rsid w:val="007F6BE3"/>
    <w:rsid w:val="00805B01"/>
    <w:rsid w:val="00807438"/>
    <w:rsid w:val="00810059"/>
    <w:rsid w:val="0082427E"/>
    <w:rsid w:val="00824FEF"/>
    <w:rsid w:val="0082757A"/>
    <w:rsid w:val="0083551E"/>
    <w:rsid w:val="00845C1F"/>
    <w:rsid w:val="00853F64"/>
    <w:rsid w:val="00854F60"/>
    <w:rsid w:val="00856F04"/>
    <w:rsid w:val="00863370"/>
    <w:rsid w:val="00866BCE"/>
    <w:rsid w:val="00872AEB"/>
    <w:rsid w:val="008774C1"/>
    <w:rsid w:val="00882B8A"/>
    <w:rsid w:val="00883C15"/>
    <w:rsid w:val="0088403A"/>
    <w:rsid w:val="00887780"/>
    <w:rsid w:val="008926EC"/>
    <w:rsid w:val="008A3C89"/>
    <w:rsid w:val="008B0FC2"/>
    <w:rsid w:val="008C25EC"/>
    <w:rsid w:val="008C5BF5"/>
    <w:rsid w:val="008C679B"/>
    <w:rsid w:val="008C6DAC"/>
    <w:rsid w:val="008C7716"/>
    <w:rsid w:val="008C7CAD"/>
    <w:rsid w:val="008D0AE4"/>
    <w:rsid w:val="008D2295"/>
    <w:rsid w:val="008E5B38"/>
    <w:rsid w:val="008E7B68"/>
    <w:rsid w:val="008F03A4"/>
    <w:rsid w:val="009039AB"/>
    <w:rsid w:val="00905FC8"/>
    <w:rsid w:val="00907C47"/>
    <w:rsid w:val="009115F6"/>
    <w:rsid w:val="00912AA2"/>
    <w:rsid w:val="009147F0"/>
    <w:rsid w:val="00916A3A"/>
    <w:rsid w:val="0092410E"/>
    <w:rsid w:val="00924409"/>
    <w:rsid w:val="00924B15"/>
    <w:rsid w:val="00924D58"/>
    <w:rsid w:val="00926473"/>
    <w:rsid w:val="009268AA"/>
    <w:rsid w:val="00931C99"/>
    <w:rsid w:val="00932D2A"/>
    <w:rsid w:val="00935620"/>
    <w:rsid w:val="0094209B"/>
    <w:rsid w:val="00943110"/>
    <w:rsid w:val="00952AC7"/>
    <w:rsid w:val="0096040F"/>
    <w:rsid w:val="0097284F"/>
    <w:rsid w:val="00972AEA"/>
    <w:rsid w:val="0097405F"/>
    <w:rsid w:val="00975C37"/>
    <w:rsid w:val="0098652B"/>
    <w:rsid w:val="00986DE8"/>
    <w:rsid w:val="00987A0A"/>
    <w:rsid w:val="00991B24"/>
    <w:rsid w:val="00993131"/>
    <w:rsid w:val="00995B6B"/>
    <w:rsid w:val="00996E7E"/>
    <w:rsid w:val="009A04DD"/>
    <w:rsid w:val="009A7874"/>
    <w:rsid w:val="009A7ADD"/>
    <w:rsid w:val="009B4022"/>
    <w:rsid w:val="009C1581"/>
    <w:rsid w:val="009C420E"/>
    <w:rsid w:val="009C7DF7"/>
    <w:rsid w:val="009D1BD2"/>
    <w:rsid w:val="009D3F27"/>
    <w:rsid w:val="009D5AF3"/>
    <w:rsid w:val="009F2EA6"/>
    <w:rsid w:val="00A03A91"/>
    <w:rsid w:val="00A0422B"/>
    <w:rsid w:val="00A11568"/>
    <w:rsid w:val="00A15028"/>
    <w:rsid w:val="00A1782F"/>
    <w:rsid w:val="00A27D08"/>
    <w:rsid w:val="00A317BE"/>
    <w:rsid w:val="00A322C3"/>
    <w:rsid w:val="00A36313"/>
    <w:rsid w:val="00A37BDA"/>
    <w:rsid w:val="00A4048E"/>
    <w:rsid w:val="00A408C0"/>
    <w:rsid w:val="00A40AC5"/>
    <w:rsid w:val="00A41345"/>
    <w:rsid w:val="00A50E95"/>
    <w:rsid w:val="00A5374A"/>
    <w:rsid w:val="00A53B29"/>
    <w:rsid w:val="00A563AF"/>
    <w:rsid w:val="00A60D7F"/>
    <w:rsid w:val="00A64942"/>
    <w:rsid w:val="00A96E28"/>
    <w:rsid w:val="00AA1196"/>
    <w:rsid w:val="00AB0911"/>
    <w:rsid w:val="00AB09EC"/>
    <w:rsid w:val="00AB21B1"/>
    <w:rsid w:val="00AB7A55"/>
    <w:rsid w:val="00AD0123"/>
    <w:rsid w:val="00AD04EA"/>
    <w:rsid w:val="00AD26C9"/>
    <w:rsid w:val="00AD3CE5"/>
    <w:rsid w:val="00AD4B1E"/>
    <w:rsid w:val="00AD5AE2"/>
    <w:rsid w:val="00AD6A8B"/>
    <w:rsid w:val="00AD72EB"/>
    <w:rsid w:val="00AD7876"/>
    <w:rsid w:val="00AE2AFF"/>
    <w:rsid w:val="00AE4B3D"/>
    <w:rsid w:val="00AE6E02"/>
    <w:rsid w:val="00AE7B85"/>
    <w:rsid w:val="00AF7E32"/>
    <w:rsid w:val="00B00A3A"/>
    <w:rsid w:val="00B00E7A"/>
    <w:rsid w:val="00B0413E"/>
    <w:rsid w:val="00B10151"/>
    <w:rsid w:val="00B107EA"/>
    <w:rsid w:val="00B1158C"/>
    <w:rsid w:val="00B2079B"/>
    <w:rsid w:val="00B212A0"/>
    <w:rsid w:val="00B24A6F"/>
    <w:rsid w:val="00B27675"/>
    <w:rsid w:val="00B32156"/>
    <w:rsid w:val="00B47996"/>
    <w:rsid w:val="00B6058B"/>
    <w:rsid w:val="00B6318C"/>
    <w:rsid w:val="00B65299"/>
    <w:rsid w:val="00B74AA3"/>
    <w:rsid w:val="00B83FCA"/>
    <w:rsid w:val="00B90498"/>
    <w:rsid w:val="00B9177F"/>
    <w:rsid w:val="00B91D7D"/>
    <w:rsid w:val="00B92E52"/>
    <w:rsid w:val="00B941B7"/>
    <w:rsid w:val="00B96A74"/>
    <w:rsid w:val="00BA0112"/>
    <w:rsid w:val="00BA1946"/>
    <w:rsid w:val="00BA5A9B"/>
    <w:rsid w:val="00BA64A7"/>
    <w:rsid w:val="00BA69B4"/>
    <w:rsid w:val="00BA6B81"/>
    <w:rsid w:val="00BA7556"/>
    <w:rsid w:val="00BB11D0"/>
    <w:rsid w:val="00BB7040"/>
    <w:rsid w:val="00BC5AA7"/>
    <w:rsid w:val="00BE2EC9"/>
    <w:rsid w:val="00BE4C58"/>
    <w:rsid w:val="00BE640B"/>
    <w:rsid w:val="00BF1EB8"/>
    <w:rsid w:val="00BF5B47"/>
    <w:rsid w:val="00BF73EA"/>
    <w:rsid w:val="00C07CC3"/>
    <w:rsid w:val="00C17C10"/>
    <w:rsid w:val="00C4000E"/>
    <w:rsid w:val="00C40C8A"/>
    <w:rsid w:val="00C53F38"/>
    <w:rsid w:val="00C549EE"/>
    <w:rsid w:val="00C70BD9"/>
    <w:rsid w:val="00C770BE"/>
    <w:rsid w:val="00C8025B"/>
    <w:rsid w:val="00C8504A"/>
    <w:rsid w:val="00C97C8A"/>
    <w:rsid w:val="00CB0C20"/>
    <w:rsid w:val="00CB0EB1"/>
    <w:rsid w:val="00CB3950"/>
    <w:rsid w:val="00CB5970"/>
    <w:rsid w:val="00CB7474"/>
    <w:rsid w:val="00CC1F8A"/>
    <w:rsid w:val="00CC3CA5"/>
    <w:rsid w:val="00CD1A9F"/>
    <w:rsid w:val="00CE3223"/>
    <w:rsid w:val="00CE3A3A"/>
    <w:rsid w:val="00CF4210"/>
    <w:rsid w:val="00CF6D73"/>
    <w:rsid w:val="00CF74CE"/>
    <w:rsid w:val="00D03CEE"/>
    <w:rsid w:val="00D04E0B"/>
    <w:rsid w:val="00D05670"/>
    <w:rsid w:val="00D07F25"/>
    <w:rsid w:val="00D10271"/>
    <w:rsid w:val="00D13AA6"/>
    <w:rsid w:val="00D14E11"/>
    <w:rsid w:val="00D16E75"/>
    <w:rsid w:val="00D2303C"/>
    <w:rsid w:val="00D2558E"/>
    <w:rsid w:val="00D27025"/>
    <w:rsid w:val="00D33423"/>
    <w:rsid w:val="00D4228D"/>
    <w:rsid w:val="00D431F4"/>
    <w:rsid w:val="00D47D7C"/>
    <w:rsid w:val="00D52875"/>
    <w:rsid w:val="00D558FC"/>
    <w:rsid w:val="00D57705"/>
    <w:rsid w:val="00D70671"/>
    <w:rsid w:val="00D70B72"/>
    <w:rsid w:val="00D74C63"/>
    <w:rsid w:val="00D769D7"/>
    <w:rsid w:val="00D81590"/>
    <w:rsid w:val="00D869DA"/>
    <w:rsid w:val="00D966D5"/>
    <w:rsid w:val="00DB51AF"/>
    <w:rsid w:val="00DD3A22"/>
    <w:rsid w:val="00DE1F27"/>
    <w:rsid w:val="00DE21B2"/>
    <w:rsid w:val="00DF2DCC"/>
    <w:rsid w:val="00DF3338"/>
    <w:rsid w:val="00DF35C3"/>
    <w:rsid w:val="00DF4568"/>
    <w:rsid w:val="00DF465F"/>
    <w:rsid w:val="00DF597E"/>
    <w:rsid w:val="00DF66EE"/>
    <w:rsid w:val="00DF7B7B"/>
    <w:rsid w:val="00E001B0"/>
    <w:rsid w:val="00E060F3"/>
    <w:rsid w:val="00E07348"/>
    <w:rsid w:val="00E17A5B"/>
    <w:rsid w:val="00E23D7C"/>
    <w:rsid w:val="00E24AE0"/>
    <w:rsid w:val="00E31218"/>
    <w:rsid w:val="00E319E0"/>
    <w:rsid w:val="00E46BC8"/>
    <w:rsid w:val="00E57129"/>
    <w:rsid w:val="00E642C7"/>
    <w:rsid w:val="00E71B3E"/>
    <w:rsid w:val="00E80D2C"/>
    <w:rsid w:val="00E825FA"/>
    <w:rsid w:val="00E90522"/>
    <w:rsid w:val="00E92EBA"/>
    <w:rsid w:val="00EA06E1"/>
    <w:rsid w:val="00EA45C2"/>
    <w:rsid w:val="00EA4EBD"/>
    <w:rsid w:val="00EB1B79"/>
    <w:rsid w:val="00EB3A86"/>
    <w:rsid w:val="00EF0232"/>
    <w:rsid w:val="00EF41A5"/>
    <w:rsid w:val="00F064F5"/>
    <w:rsid w:val="00F11704"/>
    <w:rsid w:val="00F123B4"/>
    <w:rsid w:val="00F14009"/>
    <w:rsid w:val="00F2193C"/>
    <w:rsid w:val="00F220C6"/>
    <w:rsid w:val="00F23E32"/>
    <w:rsid w:val="00F341E5"/>
    <w:rsid w:val="00F358C2"/>
    <w:rsid w:val="00F5706E"/>
    <w:rsid w:val="00F61EEE"/>
    <w:rsid w:val="00F66A54"/>
    <w:rsid w:val="00F70054"/>
    <w:rsid w:val="00F70859"/>
    <w:rsid w:val="00F74C00"/>
    <w:rsid w:val="00F87645"/>
    <w:rsid w:val="00F93798"/>
    <w:rsid w:val="00FA0CDC"/>
    <w:rsid w:val="00FA1363"/>
    <w:rsid w:val="00FA7BEC"/>
    <w:rsid w:val="00FB3EFF"/>
    <w:rsid w:val="00FB46CB"/>
    <w:rsid w:val="00FB56C7"/>
    <w:rsid w:val="00FD5411"/>
    <w:rsid w:val="00FE7BF9"/>
    <w:rsid w:val="00FF2CED"/>
    <w:rsid w:val="00FF6BE6"/>
    <w:rsid w:val="65FF0D4D"/>
    <w:rsid w:val="FED3A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nhideWhenUsed="0" w:uiPriority="0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567"/>
      <w:jc w:val="both"/>
    </w:pPr>
    <w:rPr>
      <w:rFonts w:ascii="Calibri" w:hAnsi="Calibri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00" w:after="200"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3">
    <w:name w:val="heading 2"/>
    <w:basedOn w:val="2"/>
    <w:next w:val="1"/>
    <w:link w:val="25"/>
    <w:unhideWhenUsed/>
    <w:qFormat/>
    <w:uiPriority w:val="9"/>
    <w:pPr>
      <w:jc w:val="left"/>
      <w:outlineLvl w:val="1"/>
    </w:pPr>
    <w:rPr>
      <w:b w:val="0"/>
      <w:szCs w:val="26"/>
    </w:rPr>
  </w:style>
  <w:style w:type="paragraph" w:styleId="4">
    <w:name w:val="heading 3"/>
    <w:basedOn w:val="3"/>
    <w:next w:val="1"/>
    <w:link w:val="22"/>
    <w:qFormat/>
    <w:uiPriority w:val="0"/>
    <w:pPr>
      <w:outlineLvl w:val="2"/>
    </w:pPr>
    <w:rPr>
      <w:rFonts w:eastAsia="Times New Roman" w:cs="Times New Roman"/>
      <w:i/>
      <w:szCs w:val="20"/>
      <w:lang w:eastAsia="pt-BR"/>
    </w:rPr>
  </w:style>
  <w:style w:type="paragraph" w:styleId="5">
    <w:name w:val="heading 4"/>
    <w:basedOn w:val="1"/>
    <w:next w:val="1"/>
    <w:link w:val="23"/>
    <w:qFormat/>
    <w:uiPriority w:val="0"/>
    <w:pPr>
      <w:keepNext/>
      <w:outlineLvl w:val="3"/>
    </w:pPr>
    <w:rPr>
      <w:rFonts w:ascii="Arial" w:hAnsi="Arial" w:eastAsia="Times New Roman" w:cs="Times New Roman"/>
      <w:b/>
      <w:bCs/>
      <w:sz w:val="40"/>
      <w:szCs w:val="20"/>
      <w:lang w:eastAsia="pt-BR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outlineLvl w:val="4"/>
    </w:pPr>
    <w:rPr>
      <w:rFonts w:ascii="Consolas" w:hAnsi="Consolas"/>
      <w:b/>
      <w:caps/>
      <w:sz w:val="32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footer"/>
    <w:basedOn w:val="1"/>
    <w:link w:val="27"/>
    <w:unhideWhenUsed/>
    <w:uiPriority w:val="99"/>
    <w:pPr>
      <w:tabs>
        <w:tab w:val="center" w:pos="4252"/>
        <w:tab w:val="right" w:pos="8504"/>
      </w:tabs>
    </w:pPr>
  </w:style>
  <w:style w:type="paragraph" w:styleId="12">
    <w:name w:val="header"/>
    <w:basedOn w:val="1"/>
    <w:link w:val="26"/>
    <w:unhideWhenUsed/>
    <w:uiPriority w:val="0"/>
    <w:pPr>
      <w:tabs>
        <w:tab w:val="center" w:pos="4252"/>
        <w:tab w:val="right" w:pos="8504"/>
      </w:tabs>
    </w:pPr>
  </w:style>
  <w:style w:type="character" w:styleId="13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8"/>
    <w:uiPriority w:val="22"/>
    <w:rPr>
      <w:b/>
      <w:bCs/>
    </w:rPr>
  </w:style>
  <w:style w:type="table" w:styleId="15">
    <w:name w:val="Table Classic 2"/>
    <w:basedOn w:val="9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unhideWhenUsed/>
    <w:uiPriority w:val="39"/>
    <w:pPr>
      <w:spacing w:after="100" w:line="259" w:lineRule="auto"/>
      <w:ind w:firstLine="0"/>
      <w:jc w:val="left"/>
    </w:pPr>
    <w:rPr>
      <w:rFonts w:cs="Times New Roman" w:eastAsiaTheme="minorEastAsia"/>
      <w:b/>
      <w:caps/>
      <w:sz w:val="22"/>
      <w:lang w:eastAsia="pt-BR"/>
    </w:rPr>
  </w:style>
  <w:style w:type="paragraph" w:styleId="18">
    <w:name w:val="toc 2"/>
    <w:basedOn w:val="1"/>
    <w:next w:val="1"/>
    <w:unhideWhenUsed/>
    <w:uiPriority w:val="39"/>
    <w:pPr>
      <w:spacing w:after="100" w:line="259" w:lineRule="auto"/>
      <w:ind w:left="220" w:firstLine="0"/>
      <w:jc w:val="left"/>
    </w:pPr>
    <w:rPr>
      <w:rFonts w:cs="Times New Roman" w:eastAsiaTheme="minorEastAsia"/>
      <w:caps/>
      <w:sz w:val="22"/>
      <w:lang w:eastAsia="pt-BR"/>
    </w:rPr>
  </w:style>
  <w:style w:type="paragraph" w:styleId="19">
    <w:name w:val="toc 3"/>
    <w:basedOn w:val="1"/>
    <w:next w:val="1"/>
    <w:unhideWhenUsed/>
    <w:uiPriority w:val="39"/>
    <w:pPr>
      <w:spacing w:after="100" w:line="259" w:lineRule="auto"/>
      <w:ind w:left="440" w:firstLine="0"/>
      <w:jc w:val="left"/>
    </w:pPr>
    <w:rPr>
      <w:rFonts w:cs="Times New Roman" w:eastAsiaTheme="minorEastAsia"/>
      <w:i/>
      <w:caps/>
      <w:sz w:val="22"/>
      <w:lang w:eastAsia="pt-BR"/>
    </w:rPr>
  </w:style>
  <w:style w:type="character" w:customStyle="1" w:styleId="20">
    <w:name w:val="Título 5 Char"/>
    <w:basedOn w:val="8"/>
    <w:link w:val="6"/>
    <w:uiPriority w:val="9"/>
    <w:rPr>
      <w:rFonts w:ascii="Consolas" w:hAnsi="Consolas"/>
      <w:b/>
      <w:caps/>
      <w:sz w:val="32"/>
    </w:rPr>
  </w:style>
  <w:style w:type="paragraph" w:customStyle="1" w:styleId="21">
    <w:name w:val="TOC Heading"/>
    <w:basedOn w:val="2"/>
    <w:next w:val="1"/>
    <w:unhideWhenUsed/>
    <w:uiPriority w:val="39"/>
    <w:pPr>
      <w:jc w:val="left"/>
      <w:outlineLvl w:val="9"/>
    </w:pPr>
    <w:rPr>
      <w:lang w:eastAsia="pt-BR"/>
    </w:rPr>
  </w:style>
  <w:style w:type="character" w:customStyle="1" w:styleId="22">
    <w:name w:val="Título 3 Char"/>
    <w:basedOn w:val="8"/>
    <w:link w:val="4"/>
    <w:uiPriority w:val="0"/>
    <w:rPr>
      <w:rFonts w:ascii="Calibri" w:hAnsi="Calibri" w:eastAsia="Times New Roman" w:cs="Times New Roman"/>
      <w:i/>
      <w:caps/>
      <w:sz w:val="24"/>
      <w:szCs w:val="20"/>
      <w:lang w:eastAsia="pt-BR"/>
    </w:rPr>
  </w:style>
  <w:style w:type="character" w:customStyle="1" w:styleId="23">
    <w:name w:val="Título 4 Char"/>
    <w:basedOn w:val="8"/>
    <w:link w:val="5"/>
    <w:uiPriority w:val="0"/>
    <w:rPr>
      <w:rFonts w:ascii="Arial" w:hAnsi="Arial" w:eastAsia="Times New Roman" w:cs="Times New Roman"/>
      <w:b/>
      <w:bCs/>
      <w:sz w:val="40"/>
      <w:szCs w:val="20"/>
      <w:lang w:eastAsia="pt-BR"/>
    </w:rPr>
  </w:style>
  <w:style w:type="character" w:customStyle="1" w:styleId="24">
    <w:name w:val="Título 1 Char"/>
    <w:basedOn w:val="8"/>
    <w:link w:val="2"/>
    <w:uiPriority w:val="9"/>
    <w:rPr>
      <w:rFonts w:ascii="Calibri" w:hAnsi="Calibri" w:eastAsiaTheme="majorEastAsia" w:cstheme="majorBidi"/>
      <w:b/>
      <w:caps/>
      <w:sz w:val="24"/>
      <w:szCs w:val="32"/>
    </w:rPr>
  </w:style>
  <w:style w:type="character" w:customStyle="1" w:styleId="25">
    <w:name w:val="Título 2 Char"/>
    <w:basedOn w:val="8"/>
    <w:link w:val="3"/>
    <w:uiPriority w:val="9"/>
    <w:rPr>
      <w:rFonts w:ascii="Calibri" w:hAnsi="Calibri" w:eastAsiaTheme="majorEastAsia" w:cstheme="majorBidi"/>
      <w:caps/>
      <w:sz w:val="24"/>
      <w:szCs w:val="26"/>
    </w:rPr>
  </w:style>
  <w:style w:type="character" w:customStyle="1" w:styleId="26">
    <w:name w:val="Cabeçalho Char"/>
    <w:basedOn w:val="8"/>
    <w:link w:val="12"/>
    <w:uiPriority w:val="0"/>
    <w:rPr>
      <w:sz w:val="24"/>
    </w:rPr>
  </w:style>
  <w:style w:type="character" w:customStyle="1" w:styleId="27">
    <w:name w:val="Rodapé Char"/>
    <w:basedOn w:val="8"/>
    <w:link w:val="11"/>
    <w:uiPriority w:val="99"/>
    <w:rPr>
      <w:sz w:val="24"/>
    </w:rPr>
  </w:style>
  <w:style w:type="character" w:customStyle="1" w:styleId="28">
    <w:name w:val="Título 6 Char"/>
    <w:basedOn w:val="8"/>
    <w:link w:val="7"/>
    <w:uiPriority w:val="9"/>
    <w:rPr>
      <w:rFonts w:asciiTheme="majorHAnsi" w:hAnsiTheme="majorHAnsi" w:eastAsiaTheme="majorEastAsia" w:cstheme="majorBidi"/>
      <w:color w:val="203864" w:themeColor="accent1" w:themeShade="80"/>
      <w:sz w:val="24"/>
    </w:rPr>
  </w:style>
  <w:style w:type="paragraph" w:styleId="29">
    <w:name w:val="List Paragraph"/>
    <w:basedOn w:val="1"/>
    <w:uiPriority w:val="34"/>
    <w:pPr>
      <w:ind w:left="720"/>
      <w:contextualSpacing/>
    </w:pPr>
  </w:style>
  <w:style w:type="character" w:styleId="30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1893</Words>
  <Characters>10224</Characters>
  <Lines>85</Lines>
  <Paragraphs>24</Paragraphs>
  <TotalTime>1</TotalTime>
  <ScaleCrop>false</ScaleCrop>
  <LinksUpToDate>false</LinksUpToDate>
  <CharactersWithSpaces>12093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2023-08-18T09:05:00Z</dcterms:created>
  <dc:creator>Leonardo H. M. Kist - Indumak</dc:creator>
  <cp:lastModifiedBy>leonardo</cp:lastModifiedBy>
  <dcterms:modified xsi:type="dcterms:W3CDTF">2023-09-19T00:15:25Z</dcterms:modified>
  <cp:revision>714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I_NÚMERO">
    <vt:lpwstr>0000</vt:lpwstr>
  </property>
  <property fmtid="{D5CDD505-2E9C-101B-9397-08002B2CF9AE}" pid="3" name="NI_TÍTULO">
    <vt:lpwstr>TEMPLATE ITE</vt:lpwstr>
  </property>
  <property fmtid="{D5CDD505-2E9C-101B-9397-08002B2CF9AE}" pid="4" name="NI_DATA">
    <vt:lpwstr>--/--/----</vt:lpwstr>
  </property>
  <property fmtid="{D5CDD505-2E9C-101B-9397-08002B2CF9AE}" pid="5" name="NI_REV">
    <vt:lpwstr>00</vt:lpwstr>
  </property>
  <property fmtid="{D5CDD505-2E9C-101B-9397-08002B2CF9AE}" pid="6" name="NI_ELABORADO">
    <vt:lpwstr>USUARIO_ELABORADO</vt:lpwstr>
  </property>
  <property fmtid="{D5CDD505-2E9C-101B-9397-08002B2CF9AE}" pid="7" name="NI_APROVADO">
    <vt:lpwstr>USUARIO_APROVADO</vt:lpwstr>
  </property>
  <property fmtid="{D5CDD505-2E9C-101B-9397-08002B2CF9AE}" pid="8" name="NI_SITUAÇÃO">
    <vt:lpwstr>EM EDIÇÃO</vt:lpwstr>
  </property>
  <property fmtid="{D5CDD505-2E9C-101B-9397-08002B2CF9AE}" pid="9" name="NI_TIPO">
    <vt:lpwstr>00</vt:lpwstr>
  </property>
  <property fmtid="{D5CDD505-2E9C-101B-9397-08002B2CF9AE}" pid="10" name="KSOProductBuildVer">
    <vt:lpwstr>1033-11.1.0.11664</vt:lpwstr>
  </property>
</Properties>
</file>