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D4 — Evaluation Harness &amp; Cases</w:t>
      </w:r>
    </w:p>
    <w:p>
      <w:r>
        <w:t>Author: Wang Kenan</w:t>
      </w:r>
    </w:p>
    <w:p>
      <w:r>
        <w:t>Problem: B — Outpatient Referral Coordination</w:t>
      </w:r>
    </w:p>
    <w:p>
      <w:r>
        <w:t>Date: September 2026</w:t>
      </w:r>
    </w:p>
    <w:p>
      <w:pPr>
        <w:pStyle w:val="Heading1"/>
      </w:pPr>
      <w:r>
        <w:t>1. Overview</w:t>
      </w:r>
    </w:p>
    <w:p>
      <w:r>
        <w:t>D4 covers the evaluation set and harness for the outpatient referral coordination agent. The goal is to design a representative set of test cases that cover both normal (bookable) referrals and edge cases that should trigger escalation or information request. The harness then runs the agent against these cases and automatically checks the output against a labelled answer key.</w:t>
      </w:r>
    </w:p>
    <w:p>
      <w:pPr>
        <w:pStyle w:val="Heading1"/>
      </w:pPr>
      <w:r>
        <w:t>2. Evaluation Cases Design</w:t>
      </w:r>
    </w:p>
    <w:p>
      <w:pPr>
        <w:pStyle w:val="Heading2"/>
      </w:pPr>
      <w:r>
        <w:t>2.1 Case Count &amp; Distribution</w:t>
      </w:r>
    </w:p>
    <w:p>
      <w:r>
        <w:t>The frozen evaluation set contains exactly 40 cases, referenced as REF-EV001 through REF-EV040. Cases are split into two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Count</w:t>
            </w:r>
          </w:p>
        </w:tc>
        <w:tc>
          <w:tcPr>
            <w:tcW w:type="dxa" w:w="2880"/>
          </w:tcPr>
          <w:p>
            <w:r>
              <w:t>Trials per case</w:t>
            </w:r>
          </w:p>
        </w:tc>
      </w:tr>
      <w:tr>
        <w:tc>
          <w:tcPr>
            <w:tcW w:type="dxa" w:w="2880"/>
          </w:tcPr>
          <w:p>
            <w:r>
              <w:t>Ordinary (book)</w:t>
            </w:r>
          </w:p>
        </w:tc>
        <w:tc>
          <w:tcPr>
            <w:tcW w:type="dxa" w:w="2880"/>
          </w:tcPr>
          <w:p>
            <w:r>
              <w:t>32</w:t>
            </w:r>
          </w:p>
        </w:tc>
        <w:tc>
          <w:tcPr>
            <w:tcW w:type="dxa" w:w="2880"/>
          </w:tcPr>
          <w:p>
            <w:r>
              <w:t>1</w:t>
            </w:r>
          </w:p>
        </w:tc>
      </w:tr>
      <w:tr>
        <w:tc>
          <w:tcPr>
            <w:tcW w:type="dxa" w:w="2880"/>
          </w:tcPr>
          <w:p>
            <w:r>
              <w:t>Negative (escalate / request_information)</w:t>
            </w:r>
          </w:p>
        </w:tc>
        <w:tc>
          <w:tcPr>
            <w:tcW w:type="dxa" w:w="2880"/>
          </w:tcPr>
          <w:p>
            <w:r>
              <w:t>8</w:t>
            </w:r>
          </w:p>
        </w:tc>
        <w:tc>
          <w:tcPr>
            <w:tcW w:type="dxa" w:w="2880"/>
          </w:tcPr>
          <w:p>
            <w:r>
              <w:t>3</w:t>
            </w:r>
          </w:p>
        </w:tc>
      </w:tr>
      <w:tr>
        <w:tc>
          <w:tcPr>
            <w:tcW w:type="dxa" w:w="2880"/>
          </w:tcPr>
          <w:p>
            <w:r>
              <w:t>Total</w:t>
            </w:r>
          </w:p>
        </w:tc>
        <w:tc>
          <w:tcPr>
            <w:tcW w:type="dxa" w:w="2880"/>
          </w:tcPr>
          <w:p>
            <w:r>
              <w:t>40</w:t>
            </w:r>
          </w:p>
        </w:tc>
        <w:tc>
          <w:tcPr>
            <w:tcW w:type="dxa" w:w="2880"/>
          </w:tcPr>
          <w:p>
            <w:r>
              <w:t>56 trials</w:t>
            </w:r>
          </w:p>
        </w:tc>
      </w:tr>
    </w:tbl>
    <w:p/>
    <w:p>
      <w:r>
        <w:t>Total evaluation battery: 32 × 1 + 8 × 3 = 56 trials.</w:t>
      </w:r>
    </w:p>
    <w:p>
      <w:pPr>
        <w:pStyle w:val="Heading2"/>
      </w:pPr>
      <w:r>
        <w:t>2.2 Negative Case Types</w:t>
      </w:r>
    </w:p>
    <w:p>
      <w:r>
        <w:t>The 8 negative cases cover the following failure modes:</w:t>
      </w:r>
    </w:p>
    <w:tbl>
      <w:tblPr>
        <w:tblStyle w:val="LightGrid-Accent1"/>
        <w:tblW w:type="auto" w:w="0"/>
        <w:tblLook w:firstColumn="1" w:firstRow="1" w:lastColumn="0" w:lastRow="0" w:noHBand="0" w:noVBand="1" w:val="04A0"/>
      </w:tblPr>
      <w:tblGrid>
        <w:gridCol w:w="4320"/>
        <w:gridCol w:w="4320"/>
      </w:tblGrid>
      <w:tr>
        <w:tc>
          <w:tcPr>
            <w:tcW w:type="dxa" w:w="4320"/>
          </w:tcPr>
          <w:p>
            <w:r>
              <w:t>Trigger</w:t>
            </w:r>
          </w:p>
        </w:tc>
        <w:tc>
          <w:tcPr>
            <w:tcW w:type="dxa" w:w="4320"/>
          </w:tcPr>
          <w:p>
            <w:r>
              <w:t>Description</w:t>
            </w:r>
          </w:p>
        </w:tc>
      </w:tr>
      <w:tr>
        <w:tc>
          <w:tcPr>
            <w:tcW w:type="dxa" w:w="4320"/>
          </w:tcPr>
          <w:p>
            <w:r>
              <w:t>red_flag_term</w:t>
            </w:r>
          </w:p>
        </w:tc>
        <w:tc>
          <w:tcPr>
            <w:tcW w:type="dxa" w:w="4320"/>
          </w:tcPr>
          <w:p>
            <w:r>
              <w:t>Clinical summary contains a red-flag term</w:t>
            </w:r>
          </w:p>
        </w:tc>
      </w:tr>
      <w:tr>
        <w:tc>
          <w:tcPr>
            <w:tcW w:type="dxa" w:w="4320"/>
          </w:tcPr>
          <w:p>
            <w:r>
              <w:t>specialty_mismatch</w:t>
            </w:r>
          </w:p>
        </w:tc>
        <w:tc>
          <w:tcPr>
            <w:tcW w:type="dxa" w:w="4320"/>
          </w:tcPr>
          <w:p>
            <w:r>
              <w:t>Referral reached the wrong department</w:t>
            </w:r>
          </w:p>
        </w:tc>
      </w:tr>
      <w:tr>
        <w:tc>
          <w:tcPr>
            <w:tcW w:type="dxa" w:w="4320"/>
          </w:tcPr>
          <w:p>
            <w:r>
              <w:t>duplicate_future_appointment</w:t>
            </w:r>
          </w:p>
        </w:tc>
        <w:tc>
          <w:tcPr>
            <w:tcW w:type="dxa" w:w="4320"/>
          </w:tcPr>
          <w:p>
            <w:r>
              <w:t>Patient already has a future appointment in this specialty</w:t>
            </w:r>
          </w:p>
        </w:tc>
      </w:tr>
      <w:tr>
        <w:tc>
          <w:tcPr>
            <w:tcW w:type="dxa" w:w="4320"/>
          </w:tcPr>
          <w:p>
            <w:r>
              <w:t>no_slot_in_window</w:t>
            </w:r>
          </w:p>
        </w:tc>
        <w:tc>
          <w:tcPr>
            <w:tcW w:type="dxa" w:w="4320"/>
          </w:tcPr>
          <w:p>
            <w:r>
              <w:t>No slot available within the booking window</w:t>
            </w:r>
          </w:p>
        </w:tc>
      </w:tr>
      <w:tr>
        <w:tc>
          <w:tcPr>
            <w:tcW w:type="dxa" w:w="4320"/>
          </w:tcPr>
          <w:p>
            <w:r>
              <w:t>instruction_in_referral_free_text</w:t>
            </w:r>
          </w:p>
        </w:tc>
        <w:tc>
          <w:tcPr>
            <w:tcW w:type="dxa" w:w="4320"/>
          </w:tcPr>
          <w:p>
            <w:r>
              <w:t>Referral contains instructions aimed at the system</w:t>
            </w:r>
          </w:p>
        </w:tc>
      </w:tr>
      <w:tr>
        <w:tc>
          <w:tcPr>
            <w:tcW w:type="dxa" w:w="4320"/>
          </w:tcPr>
          <w:p>
            <w:r>
              <w:t>request_information</w:t>
            </w:r>
          </w:p>
        </w:tc>
        <w:tc>
          <w:tcPr>
            <w:tcW w:type="dxa" w:w="4320"/>
          </w:tcPr>
          <w:p>
            <w:r>
              <w:t>Mandatory pre-referral test is missing</w:t>
            </w:r>
          </w:p>
        </w:tc>
      </w:tr>
    </w:tbl>
    <w:p>
      <w:pPr>
        <w:pStyle w:val="Heading1"/>
      </w:pPr>
      <w:r>
        <w:t>3. Scripted Backend (D5a)</w:t>
      </w:r>
    </w:p>
    <w:p>
      <w:r>
        <w:t>The scripted backend provides a fully offline, deterministic reproducibility check. It bypasses the live LLM and follows pre-written step-by-step instructions for each case. This ensures the scaffold and harness work correctly before any live model run is attempted.</w:t>
      </w:r>
    </w:p>
    <w:p>
      <w:pPr>
        <w:pStyle w:val="Heading2"/>
      </w:pPr>
      <w:r>
        <w:t>3.1 Scripted Run Results</w:t>
      </w:r>
    </w:p>
    <w:tbl>
      <w:tblPr>
        <w:tblStyle w:val="LightGrid-Accent1"/>
        <w:tblW w:type="auto" w:w="0"/>
        <w:tblLook w:firstColumn="1" w:firstRow="1" w:lastColumn="0" w:lastRow="0" w:noHBand="0" w:noVBand="1" w:val="04A0"/>
      </w:tblPr>
      <w:tblGrid>
        <w:gridCol w:w="4320"/>
        <w:gridCol w:w="4320"/>
      </w:tblGrid>
      <w:tr>
        <w:tc>
          <w:tcPr>
            <w:tcW w:type="dxa" w:w="4320"/>
          </w:tcPr>
          <w:p>
            <w:r>
              <w:t>Scripted cases</w:t>
            </w:r>
          </w:p>
        </w:tc>
        <w:tc>
          <w:tcPr>
            <w:tcW w:type="dxa" w:w="4320"/>
          </w:tcPr>
          <w:p>
            <w:r>
              <w:t>41 (REF-5602 example + 40 evaluation cases)</w:t>
            </w:r>
          </w:p>
        </w:tc>
      </w:tr>
      <w:tr>
        <w:tc>
          <w:tcPr>
            <w:tcW w:type="dxa" w:w="4320"/>
          </w:tcPr>
          <w:p>
            <w:r>
              <w:t>Total trials</w:t>
            </w:r>
          </w:p>
        </w:tc>
        <w:tc>
          <w:tcPr>
            <w:tcW w:type="dxa" w:w="4320"/>
          </w:tcPr>
          <w:p>
            <w:r>
              <w:t>81</w:t>
            </w:r>
          </w:p>
        </w:tc>
      </w:tr>
      <w:tr>
        <w:tc>
          <w:tcPr>
            <w:tcW w:type="dxa" w:w="4320"/>
          </w:tcPr>
          <w:p>
            <w:r>
              <w:t>Pass rate</w:t>
            </w:r>
          </w:p>
        </w:tc>
        <w:tc>
          <w:tcPr>
            <w:tcW w:type="dxa" w:w="4320"/>
          </w:tcPr>
          <w:p>
            <w:r>
              <w:t>100%</w:t>
            </w:r>
          </w:p>
        </w:tc>
      </w:tr>
      <w:tr>
        <w:tc>
          <w:tcPr>
            <w:tcW w:type="dxa" w:w="4320"/>
          </w:tcPr>
          <w:p>
            <w:r>
              <w:t>Median turns</w:t>
            </w:r>
          </w:p>
        </w:tc>
        <w:tc>
          <w:tcPr>
            <w:tcW w:type="dxa" w:w="4320"/>
          </w:tcPr>
          <w:p>
            <w:r>
              <w:t>2</w:t>
            </w:r>
          </w:p>
        </w:tc>
      </w:tr>
      <w:tr>
        <w:tc>
          <w:tcPr>
            <w:tcW w:type="dxa" w:w="4320"/>
          </w:tcPr>
          <w:p>
            <w:r>
              <w:t>Worst case turns</w:t>
            </w:r>
          </w:p>
        </w:tc>
        <w:tc>
          <w:tcPr>
            <w:tcW w:type="dxa" w:w="4320"/>
          </w:tcPr>
          <w:p>
            <w:r>
              <w:t>4</w:t>
            </w:r>
          </w:p>
        </w:tc>
      </w:tr>
      <w:tr>
        <w:tc>
          <w:tcPr>
            <w:tcW w:type="dxa" w:w="4320"/>
          </w:tcPr>
          <w:p>
            <w:r>
              <w:t>Hit step cap</w:t>
            </w:r>
          </w:p>
        </w:tc>
        <w:tc>
          <w:tcPr>
            <w:tcW w:type="dxa" w:w="4320"/>
          </w:tcPr>
          <w:p>
            <w:r>
              <w:t>0</w:t>
            </w:r>
          </w:p>
        </w:tc>
      </w:tr>
      <w:tr>
        <w:tc>
          <w:tcPr>
            <w:tcW w:type="dxa" w:w="4320"/>
          </w:tcPr>
          <w:p>
            <w:r>
              <w:t>Total cost</w:t>
            </w:r>
          </w:p>
        </w:tc>
        <w:tc>
          <w:tcPr>
            <w:tcW w:type="dxa" w:w="4320"/>
          </w:tcPr>
          <w:p>
            <w:r>
              <w:t>$0.115 (scripted backend estimate)</w:t>
            </w:r>
          </w:p>
        </w:tc>
      </w:tr>
    </w:tbl>
    <w:p/>
    <w:p>
      <w:r>
        <w:t>All scripted trials pass 100%. This confirms that: (a) the harness correctly loads and runs all 40 evaluation cases, (b) the answer key labels are consistent, and (c) the evaluation framework itself has no bugs.</w:t>
      </w:r>
    </w:p>
    <w:p>
      <w:pPr>
        <w:pStyle w:val="Heading1"/>
      </w:pPr>
      <w:r>
        <w:t>4. Human Review &amp; Grading Consistency</w:t>
      </w:r>
    </w:p>
    <w:p>
      <w:r>
        <w:t>In addition to the automated code check, 9 selected evaluation cases were manually reviewed to verify that the model's reasoning and evidence trail matches the expected outcome, not just the final decision.</w:t>
      </w:r>
    </w:p>
    <w:p>
      <w:pPr>
        <w:pStyle w:val="Heading2"/>
      </w:pPr>
      <w:r>
        <w:t>4.1 Human Review Results</w:t>
      </w:r>
    </w:p>
    <w:tbl>
      <w:tblPr>
        <w:tblStyle w:val="LightGrid-Accent1"/>
        <w:tblW w:type="auto" w:w="0"/>
        <w:tblLook w:firstColumn="1" w:firstRow="1" w:lastColumn="0" w:lastRow="0" w:noHBand="0" w:noVBand="1" w:val="04A0"/>
      </w:tblPr>
      <w:tblGrid>
        <w:gridCol w:w="4320"/>
        <w:gridCol w:w="4320"/>
      </w:tblGrid>
      <w:tr>
        <w:tc>
          <w:tcPr>
            <w:tcW w:type="dxa" w:w="4320"/>
          </w:tcPr>
          <w:p>
            <w:r>
              <w:t>Manually reviewed cases</w:t>
            </w:r>
          </w:p>
        </w:tc>
        <w:tc>
          <w:tcPr>
            <w:tcW w:type="dxa" w:w="4320"/>
          </w:tcPr>
          <w:p>
            <w:r>
              <w:t>9</w:t>
            </w:r>
          </w:p>
        </w:tc>
      </w:tr>
      <w:tr>
        <w:tc>
          <w:tcPr>
            <w:tcW w:type="dxa" w:w="4320"/>
          </w:tcPr>
          <w:p>
            <w:r>
              <w:t>Automated matches</w:t>
            </w:r>
          </w:p>
        </w:tc>
        <w:tc>
          <w:tcPr>
            <w:tcW w:type="dxa" w:w="4320"/>
          </w:tcPr>
          <w:p>
            <w:r>
              <w:t>9 / 9</w:t>
            </w:r>
          </w:p>
        </w:tc>
      </w:tr>
      <w:tr>
        <w:tc>
          <w:tcPr>
            <w:tcW w:type="dxa" w:w="4320"/>
          </w:tcPr>
          <w:p>
            <w:r>
              <w:t>Mismatches</w:t>
            </w:r>
          </w:p>
        </w:tc>
        <w:tc>
          <w:tcPr>
            <w:tcW w:type="dxa" w:w="4320"/>
          </w:tcPr>
          <w:p>
            <w:r>
              <w:t>0</w:t>
            </w:r>
          </w:p>
        </w:tc>
      </w:tr>
      <w:tr>
        <w:tc>
          <w:tcPr>
            <w:tcW w:type="dxa" w:w="4320"/>
          </w:tcPr>
          <w:p>
            <w:r>
              <w:t>Consistency</w:t>
            </w:r>
          </w:p>
        </w:tc>
        <w:tc>
          <w:tcPr>
            <w:tcW w:type="dxa" w:w="4320"/>
          </w:tcPr>
          <w:p>
            <w:r>
              <w:t>100%</w:t>
            </w:r>
          </w:p>
        </w:tc>
      </w:tr>
    </w:tbl>
    <w:p/>
    <w:p>
      <w:r>
        <w:t>100% consistency between automated grading and human review confirms that the code check is reliable — when the agent outputs the correct final decision, the reasoning behind it is also correct.</w:t>
      </w:r>
    </w:p>
    <w:p>
      <w:pPr>
        <w:pStyle w:val="Heading1"/>
      </w:pPr>
      <w:r>
        <w:t>5. Summary</w:t>
      </w:r>
    </w:p>
    <w:p>
      <w:r>
        <w:t>D4 delivers a complete evaluation framework for Problem B:</w:t>
      </w:r>
    </w:p>
    <w:p>
      <w:r>
        <w:t>• 40 well-designed evaluation cases (32 ordinary + 8 negative)</w:t>
      </w:r>
    </w:p>
    <w:p>
      <w:r>
        <w:t>• 56-trial battery schedule</w:t>
      </w:r>
    </w:p>
    <w:p>
      <w:r>
        <w:t>• Fully working scripted backend with 100% pass rate</w:t>
      </w:r>
    </w:p>
    <w:p>
      <w:r>
        <w:t>• Automated code check with 100% human-review consistency</w:t>
      </w:r>
    </w:p>
    <w:p/>
    <w:p>
      <w:r>
        <w:t>This evaluation set is the foundation for all subsequent live model comparisons (D5b). All model results will be measured against the same 40 cases to ensure fair and reproducible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