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ANÁLISE COMPARATIVA — GRAN ROYAL × BASE CARTESIAN</w:t>
      </w:r>
    </w:p>
    <w:p>
      <w:pPr>
        <w:jc w:val="center"/>
      </w:pPr>
      <w:r>
        <w:rPr>
          <w:color w:val="646464"/>
          <w:sz w:val="28"/>
        </w:rPr>
        <w:t>Orçamento Executivo — Arquitetura</w:t>
      </w:r>
    </w:p>
    <w:p/>
    <w:p>
      <w:pPr>
        <w:pStyle w:val="Heading1"/>
      </w:pPr>
      <w:r>
        <w:t>📋 DADOS DO PROJETO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Projeto</w:t>
            </w:r>
          </w:p>
        </w:tc>
        <w:tc>
          <w:tcPr>
            <w:tcW w:type="dxa" w:w="4320"/>
          </w:tcPr>
          <w:p>
            <w:r>
              <w:t>Gran Royal — Grandezza Empreendimentos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Localização</w:t>
            </w:r>
          </w:p>
        </w:tc>
        <w:tc>
          <w:tcPr>
            <w:tcW w:type="dxa" w:w="4320"/>
          </w:tcPr>
          <w:p>
            <w:r>
              <w:t>Itacolomi - Balneário Piçarras/SC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Área Construída (AC)</w:t>
            </w:r>
          </w:p>
        </w:tc>
        <w:tc>
          <w:tcPr>
            <w:tcW w:type="dxa" w:w="4320"/>
          </w:tcPr>
          <w:p>
            <w:r>
              <w:t>5,225.33 m²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Nº de Pavimentos</w:t>
            </w:r>
          </w:p>
        </w:tc>
        <w:tc>
          <w:tcPr>
            <w:tcW w:type="dxa" w:w="4320"/>
          </w:tcPr>
          <w:p>
            <w:r>
              <w:t>19 pavimentos + 1 subsolo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Nº de Unidades</w:t>
            </w:r>
          </w:p>
        </w:tc>
        <w:tc>
          <w:tcPr>
            <w:tcW w:type="dxa" w:w="4320"/>
          </w:tcPr>
          <w:p>
            <w:r>
              <w:t>30 unidades residenciais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Nº de Vagas</w:t>
            </w:r>
          </w:p>
        </w:tc>
        <w:tc>
          <w:tcPr>
            <w:tcW w:type="dxa" w:w="4320"/>
          </w:tcPr>
          <w:p>
            <w:r>
              <w:t>31 vagas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Prazo de Obra</w:t>
            </w:r>
          </w:p>
        </w:tc>
        <w:tc>
          <w:tcPr>
            <w:tcW w:type="dxa" w:w="4320"/>
          </w:tcPr>
          <w:p>
            <w:r>
              <w:t>36 meses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Classificação de Porte</w:t>
            </w:r>
          </w:p>
        </w:tc>
        <w:tc>
          <w:tcPr>
            <w:tcW w:type="dxa" w:w="4320"/>
          </w:tcPr>
          <w:p>
            <w:r>
              <w:t>Pequeno (&lt;8.000 m²)</w:t>
            </w:r>
          </w:p>
        </w:tc>
      </w:tr>
    </w:tbl>
    <w:p/>
    <w:p>
      <w:pPr>
        <w:pStyle w:val="Heading1"/>
      </w:pPr>
      <w:r>
        <w:t>💰 RESUMO FINANCEIRO</w:t>
      </w:r>
    </w:p>
    <w:p>
      <w:r>
        <w:rPr>
          <w:b/>
        </w:rPr>
        <w:t xml:space="preserve">TOTAL GRAN ROYAL: </w:t>
      </w:r>
      <w:r>
        <w:rPr>
          <w:color w:val="C80000"/>
        </w:rPr>
        <w:t>R$ 26.621.747,47 → R$ 5.094,75/m²</w:t>
      </w:r>
    </w:p>
    <w:p>
      <w:r>
        <w:rPr>
          <w:b/>
        </w:rPr>
        <w:t xml:space="preserve">Mediana Base Cartesian (Pequeno): </w:t>
      </w:r>
      <w:r>
        <w:t>R$ 16.720.000,00 → R$ 3.200,00/m²</w:t>
      </w:r>
    </w:p>
    <w:p>
      <w:r>
        <w:rPr>
          <w:b/>
        </w:rPr>
        <w:t xml:space="preserve">Diferença: </w:t>
      </w:r>
      <w:r>
        <w:rPr>
          <w:b/>
          <w:color w:val="C80000"/>
        </w:rPr>
        <w:t>+R$ 9.901.747,47 (+59,2%)</w:t>
      </w:r>
    </w:p>
    <w:p/>
    <w:p>
      <w:r>
        <w:rPr>
          <w:b/>
          <w:color w:val="C80000"/>
        </w:rPr>
        <w:t>⚠️ ATENÇÃO: O orçamento está 59% acima da mediana da base Cartesian para projetos similares.</w:t>
      </w:r>
    </w:p>
    <w:p>
      <w:r>
        <w:br w:type="page"/>
      </w:r>
    </w:p>
    <w:p>
      <w:pPr>
        <w:pStyle w:val="Heading1"/>
      </w:pPr>
      <w:r>
        <w:t>📊 ANÁLISE POR MACROGRUPO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Grupo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Gran Royal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Base Cartesian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Diferença %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REVESTIMENTOS E ACABAMENTOS EM</w:t>
            </w:r>
          </w:p>
        </w:tc>
        <w:tc>
          <w:tcPr>
            <w:tcW w:type="dxa" w:w="1728"/>
          </w:tcPr>
          <w:p>
            <w:r>
              <w:t>R$ 598.61/m²</w:t>
            </w:r>
          </w:p>
        </w:tc>
        <w:tc>
          <w:tcPr>
            <w:tcW w:type="dxa" w:w="1728"/>
          </w:tcPr>
          <w:p>
            <w:r>
              <w:t>R$ 131.91/m²</w:t>
            </w:r>
          </w:p>
        </w:tc>
        <w:tc>
          <w:tcPr>
            <w:tcW w:type="dxa" w:w="1728"/>
          </w:tcPr>
          <w:p>
            <w:r>
              <w:rPr>
                <w:color w:val="C80000"/>
              </w:rPr>
              <w:t>+353.8%</w:t>
            </w:r>
          </w:p>
        </w:tc>
        <w:tc>
          <w:tcPr>
            <w:tcW w:type="dxa" w:w="1728"/>
          </w:tcPr>
          <w:p>
            <w:r>
              <w:t>⚠️ ALTO</w:t>
            </w:r>
          </w:p>
        </w:tc>
      </w:tr>
      <w:tr>
        <w:tc>
          <w:tcPr>
            <w:tcW w:type="dxa" w:w="1728"/>
          </w:tcPr>
          <w:p>
            <w:r>
              <w:t>SERVIÇOS COMPLEMENTARES E FINA</w:t>
            </w:r>
          </w:p>
        </w:tc>
        <w:tc>
          <w:tcPr>
            <w:tcW w:type="dxa" w:w="1728"/>
          </w:tcPr>
          <w:p>
            <w:r>
              <w:t>R$ 488.58/m²</w:t>
            </w:r>
          </w:p>
        </w:tc>
        <w:tc>
          <w:tcPr>
            <w:tcW w:type="dxa" w:w="1728"/>
          </w:tcPr>
          <w:p>
            <w:r>
              <w:t>R$ 169.11/m²</w:t>
            </w:r>
          </w:p>
        </w:tc>
        <w:tc>
          <w:tcPr>
            <w:tcW w:type="dxa" w:w="1728"/>
          </w:tcPr>
          <w:p>
            <w:r>
              <w:rPr>
                <w:color w:val="C80000"/>
              </w:rPr>
              <w:t>+188.9%</w:t>
            </w:r>
          </w:p>
        </w:tc>
        <w:tc>
          <w:tcPr>
            <w:tcW w:type="dxa" w:w="1728"/>
          </w:tcPr>
          <w:p>
            <w:r>
              <w:t>⚠️ ALTO</w:t>
            </w:r>
          </w:p>
        </w:tc>
      </w:tr>
      <w:tr>
        <w:tc>
          <w:tcPr>
            <w:tcW w:type="dxa" w:w="1728"/>
          </w:tcPr>
          <w:p>
            <w:r>
              <w:t>COBERTURA</w:t>
            </w:r>
          </w:p>
        </w:tc>
        <w:tc>
          <w:tcPr>
            <w:tcW w:type="dxa" w:w="1728"/>
          </w:tcPr>
          <w:p>
            <w:r>
              <w:t>R$ 19.86/m²</w:t>
            </w:r>
          </w:p>
        </w:tc>
        <w:tc>
          <w:tcPr>
            <w:tcW w:type="dxa" w:w="1728"/>
          </w:tcPr>
          <w:p>
            <w:r>
              <w:t>R$ 10.33/m²</w:t>
            </w:r>
          </w:p>
        </w:tc>
        <w:tc>
          <w:tcPr>
            <w:tcW w:type="dxa" w:w="1728"/>
          </w:tcPr>
          <w:p>
            <w:r>
              <w:rPr>
                <w:color w:val="C80000"/>
              </w:rPr>
              <w:t>+92.2%</w:t>
            </w:r>
          </w:p>
        </w:tc>
        <w:tc>
          <w:tcPr>
            <w:tcW w:type="dxa" w:w="1728"/>
          </w:tcPr>
          <w:p>
            <w:r>
              <w:t>⚠️ ALTO</w:t>
            </w:r>
          </w:p>
        </w:tc>
      </w:tr>
      <w:tr>
        <w:tc>
          <w:tcPr>
            <w:tcW w:type="dxa" w:w="1728"/>
          </w:tcPr>
          <w:p>
            <w:r>
              <w:t>REVESTIMENTOS E ACABAMENTOS IN</w:t>
            </w:r>
          </w:p>
        </w:tc>
        <w:tc>
          <w:tcPr>
            <w:tcW w:type="dxa" w:w="1728"/>
          </w:tcPr>
          <w:p>
            <w:r>
              <w:t>R$ 114.06/m²</w:t>
            </w:r>
          </w:p>
        </w:tc>
        <w:tc>
          <w:tcPr>
            <w:tcW w:type="dxa" w:w="1728"/>
          </w:tcPr>
          <w:p>
            <w:r>
              <w:t>R$ 60.85/m²</w:t>
            </w:r>
          </w:p>
        </w:tc>
        <w:tc>
          <w:tcPr>
            <w:tcW w:type="dxa" w:w="1728"/>
          </w:tcPr>
          <w:p>
            <w:r>
              <w:rPr>
                <w:color w:val="C80000"/>
              </w:rPr>
              <w:t>+87.4%</w:t>
            </w:r>
          </w:p>
        </w:tc>
        <w:tc>
          <w:tcPr>
            <w:tcW w:type="dxa" w:w="1728"/>
          </w:tcPr>
          <w:p>
            <w:r>
              <w:t>⚠️ ALTO</w:t>
            </w:r>
          </w:p>
        </w:tc>
      </w:tr>
      <w:tr>
        <w:tc>
          <w:tcPr>
            <w:tcW w:type="dxa" w:w="1728"/>
          </w:tcPr>
          <w:p>
            <w:r>
              <w:t>PAREDES E PAINÉIS</w:t>
            </w:r>
          </w:p>
        </w:tc>
        <w:tc>
          <w:tcPr>
            <w:tcW w:type="dxa" w:w="1728"/>
          </w:tcPr>
          <w:p>
            <w:r>
              <w:t>R$ 258.18/m²</w:t>
            </w:r>
          </w:p>
        </w:tc>
        <w:tc>
          <w:tcPr>
            <w:tcW w:type="dxa" w:w="1728"/>
          </w:tcPr>
          <w:p>
            <w:r>
              <w:t>R$ 148.91/m²</w:t>
            </w:r>
          </w:p>
        </w:tc>
        <w:tc>
          <w:tcPr>
            <w:tcW w:type="dxa" w:w="1728"/>
          </w:tcPr>
          <w:p>
            <w:r>
              <w:rPr>
                <w:color w:val="C80000"/>
              </w:rPr>
              <w:t>+73.4%</w:t>
            </w:r>
          </w:p>
        </w:tc>
        <w:tc>
          <w:tcPr>
            <w:tcW w:type="dxa" w:w="1728"/>
          </w:tcPr>
          <w:p>
            <w:r>
              <w:t>⚠️ ALTO</w:t>
            </w:r>
          </w:p>
        </w:tc>
      </w:tr>
      <w:tr>
        <w:tc>
          <w:tcPr>
            <w:tcW w:type="dxa" w:w="1728"/>
          </w:tcPr>
          <w:p>
            <w:r>
              <w:t>ESQUADRIAS, VIDROS E FERRAGENS</w:t>
            </w:r>
          </w:p>
        </w:tc>
        <w:tc>
          <w:tcPr>
            <w:tcW w:type="dxa" w:w="1728"/>
          </w:tcPr>
          <w:p>
            <w:r>
              <w:t>R$ 486.61/m²</w:t>
            </w:r>
          </w:p>
        </w:tc>
        <w:tc>
          <w:tcPr>
            <w:tcW w:type="dxa" w:w="1728"/>
          </w:tcPr>
          <w:p>
            <w:r>
              <w:t>R$ 307.25/m²</w:t>
            </w:r>
          </w:p>
        </w:tc>
        <w:tc>
          <w:tcPr>
            <w:tcW w:type="dxa" w:w="1728"/>
          </w:tcPr>
          <w:p>
            <w:r>
              <w:rPr>
                <w:color w:val="C80000"/>
              </w:rPr>
              <w:t>+58.4%</w:t>
            </w:r>
          </w:p>
        </w:tc>
        <w:tc>
          <w:tcPr>
            <w:tcW w:type="dxa" w:w="1728"/>
          </w:tcPr>
          <w:p>
            <w:r>
              <w:t>⚠️ ALTO</w:t>
            </w:r>
          </w:p>
        </w:tc>
      </w:tr>
      <w:tr>
        <w:tc>
          <w:tcPr>
            <w:tcW w:type="dxa" w:w="1728"/>
          </w:tcPr>
          <w:p>
            <w:r>
              <w:t>IMPREVISTOS E CONTINGÊNCIAS</w:t>
            </w:r>
          </w:p>
        </w:tc>
        <w:tc>
          <w:tcPr>
            <w:tcW w:type="dxa" w:w="1728"/>
          </w:tcPr>
          <w:p>
            <w:r>
              <w:t>R$ 74.07/m²</w:t>
            </w:r>
          </w:p>
        </w:tc>
        <w:tc>
          <w:tcPr>
            <w:tcW w:type="dxa" w:w="1728"/>
          </w:tcPr>
          <w:p>
            <w:r>
              <w:t>R$ 48.42/m²</w:t>
            </w:r>
          </w:p>
        </w:tc>
        <w:tc>
          <w:tcPr>
            <w:tcW w:type="dxa" w:w="1728"/>
          </w:tcPr>
          <w:p>
            <w:r>
              <w:rPr>
                <w:color w:val="C80000"/>
              </w:rPr>
              <w:t>+53.0%</w:t>
            </w:r>
          </w:p>
        </w:tc>
        <w:tc>
          <w:tcPr>
            <w:tcW w:type="dxa" w:w="1728"/>
          </w:tcPr>
          <w:p>
            <w:r>
              <w:t>⚠️ ALTO</w:t>
            </w:r>
          </w:p>
        </w:tc>
      </w:tr>
      <w:tr>
        <w:tc>
          <w:tcPr>
            <w:tcW w:type="dxa" w:w="1728"/>
          </w:tcPr>
          <w:p>
            <w:r>
              <w:t>PISOS E PAVIMENTAÇÕES</w:t>
            </w:r>
          </w:p>
        </w:tc>
        <w:tc>
          <w:tcPr>
            <w:tcW w:type="dxa" w:w="1728"/>
          </w:tcPr>
          <w:p>
            <w:r>
              <w:t>R$ 247.84/m²</w:t>
            </w:r>
          </w:p>
        </w:tc>
        <w:tc>
          <w:tcPr>
            <w:tcW w:type="dxa" w:w="1728"/>
          </w:tcPr>
          <w:p>
            <w:r>
              <w:t>R$ 194.62/m²</w:t>
            </w:r>
          </w:p>
        </w:tc>
        <w:tc>
          <w:tcPr>
            <w:tcW w:type="dxa" w:w="1728"/>
          </w:tcPr>
          <w:p>
            <w:r>
              <w:rPr>
                <w:color w:val="FF8C00"/>
              </w:rPr>
              <w:t>+27.3%</w:t>
            </w:r>
          </w:p>
        </w:tc>
        <w:tc>
          <w:tcPr>
            <w:tcW w:type="dxa" w:w="1728"/>
          </w:tcPr>
          <w:p>
            <w:r>
              <w:t>⚠️ ALTO</w:t>
            </w:r>
          </w:p>
        </w:tc>
      </w:tr>
      <w:tr>
        <w:tc>
          <w:tcPr>
            <w:tcW w:type="dxa" w:w="1728"/>
          </w:tcPr>
          <w:p>
            <w:r>
              <w:t>SISTEMAS DE PINTURA INTERNA</w:t>
            </w:r>
          </w:p>
        </w:tc>
        <w:tc>
          <w:tcPr>
            <w:tcW w:type="dxa" w:w="1728"/>
          </w:tcPr>
          <w:p>
            <w:r>
              <w:t>R$ 102.36/m²</w:t>
            </w:r>
          </w:p>
        </w:tc>
        <w:tc>
          <w:tcPr>
            <w:tcW w:type="dxa" w:w="1728"/>
          </w:tcPr>
          <w:p>
            <w:r>
              <w:t>R$ 119.30/m²</w:t>
            </w:r>
          </w:p>
        </w:tc>
        <w:tc>
          <w:tcPr>
            <w:tcW w:type="dxa" w:w="1728"/>
          </w:tcPr>
          <w:p>
            <w:r>
              <w:t>-14.2%</w:t>
            </w:r>
          </w:p>
        </w:tc>
        <w:tc>
          <w:tcPr>
            <w:tcW w:type="dxa" w:w="1728"/>
          </w:tcPr>
          <w:p>
            <w:r>
              <w:t>✅ OK</w:t>
            </w:r>
          </w:p>
        </w:tc>
      </w:tr>
      <w:tr>
        <w:tc>
          <w:tcPr>
            <w:tcW w:type="dxa" w:w="1728"/>
          </w:tcPr>
          <w:p>
            <w:r>
              <w:t>REVESTIMENTOS INTERNOS DE PARE</w:t>
            </w:r>
          </w:p>
        </w:tc>
        <w:tc>
          <w:tcPr>
            <w:tcW w:type="dxa" w:w="1728"/>
          </w:tcPr>
          <w:p>
            <w:r>
              <w:t>R$ 112.94/m²</w:t>
            </w:r>
          </w:p>
        </w:tc>
        <w:tc>
          <w:tcPr>
            <w:tcW w:type="dxa" w:w="1728"/>
          </w:tcPr>
          <w:p>
            <w:r>
              <w:t>R$ 172.37/m²</w:t>
            </w:r>
          </w:p>
        </w:tc>
        <w:tc>
          <w:tcPr>
            <w:tcW w:type="dxa" w:w="1728"/>
          </w:tcPr>
          <w:p>
            <w:r>
              <w:rPr>
                <w:color w:val="0064C8"/>
              </w:rPr>
              <w:t>-34.5%</w:t>
            </w:r>
          </w:p>
        </w:tc>
        <w:tc>
          <w:tcPr>
            <w:tcW w:type="dxa" w:w="1728"/>
          </w:tcPr>
          <w:p>
            <w:r>
              <w:t>⬇️ BAIXO</w:t>
            </w:r>
          </w:p>
        </w:tc>
      </w:tr>
      <w:tr>
        <w:tc>
          <w:tcPr>
            <w:tcW w:type="dxa" w:w="1728"/>
          </w:tcPr>
          <w:p>
            <w:r>
              <w:t>IMPERMEABILIZAÇÃO E TRATAMENTO</w:t>
            </w:r>
          </w:p>
        </w:tc>
        <w:tc>
          <w:tcPr>
            <w:tcW w:type="dxa" w:w="1728"/>
          </w:tcPr>
          <w:p>
            <w:r>
              <w:t>R$ 40.01/m²</w:t>
            </w:r>
          </w:p>
        </w:tc>
        <w:tc>
          <w:tcPr>
            <w:tcW w:type="dxa" w:w="1728"/>
          </w:tcPr>
          <w:p>
            <w:r>
              <w:t>R$ 65.29/m²</w:t>
            </w:r>
          </w:p>
        </w:tc>
        <w:tc>
          <w:tcPr>
            <w:tcW w:type="dxa" w:w="1728"/>
          </w:tcPr>
          <w:p>
            <w:r>
              <w:rPr>
                <w:color w:val="0064C8"/>
              </w:rPr>
              <w:t>-38.7%</w:t>
            </w:r>
          </w:p>
        </w:tc>
        <w:tc>
          <w:tcPr>
            <w:tcW w:type="dxa" w:w="1728"/>
          </w:tcPr>
          <w:p>
            <w:r>
              <w:t>⬇️ BAIXO</w:t>
            </w:r>
          </w:p>
        </w:tc>
      </w:tr>
    </w:tbl>
    <w:p>
      <w:r>
        <w:br w:type="page"/>
      </w:r>
    </w:p>
    <w:p>
      <w:pPr>
        <w:pStyle w:val="Heading1"/>
      </w:pPr>
      <w:r>
        <w:t>🔍 PONTOS DE ATENÇÃO CRÍTICOS</w:t>
      </w:r>
    </w:p>
    <w:p>
      <w:pPr>
        <w:pStyle w:val="Heading2"/>
      </w:pPr>
      <w:r>
        <w:t>1. FACHADA — R$ 598,61/m² (+353,8%)</w:t>
      </w:r>
    </w:p>
    <w:p>
      <w:r>
        <w:t>Valor absoluto: R$ 3.127.910,68 (23,5% do orçamento total). Mediana base: R$ 131,91/m². Hipóteses: fachada em ACM premium, porcelanato de alto padrão, esquadrias especiais.</w:t>
      </w:r>
    </w:p>
    <w:p>
      <w:r>
        <w:rPr>
          <w:b/>
        </w:rPr>
        <w:t xml:space="preserve">Recomendação: </w:t>
      </w:r>
      <w:r>
        <w:t>Revisar memorial descritivo da fachada e comparar com projetos similares.</w:t>
      </w:r>
    </w:p>
    <w:p/>
    <w:p>
      <w:pPr>
        <w:pStyle w:val="Heading2"/>
      </w:pPr>
      <w:r>
        <w:t>2. SERVIÇOS COMPLEMENTARES — R$ 488,58/m² (+188,9%)</w:t>
      </w:r>
    </w:p>
    <w:p>
      <w:r>
        <w:t>Valor absoluto: R$ 2.553.007,63 (19,2% do orçamento). Hipóteses: equipamentos de lazer premium, paisagismo extenso, automação, elevadores.</w:t>
      </w:r>
    </w:p>
    <w:p>
      <w:r>
        <w:rPr>
          <w:b/>
        </w:rPr>
        <w:t xml:space="preserve">Recomendação: </w:t>
      </w:r>
      <w:r>
        <w:t>Detalhar composição deste grupo item a item.</w:t>
      </w:r>
    </w:p>
    <w:p/>
    <w:p>
      <w:pPr>
        <w:pStyle w:val="Heading2"/>
      </w:pPr>
      <w:r>
        <w:t>3. PAREDES E PAINÉIS — R$ 258,18/m² (+73,4%)</w:t>
      </w:r>
    </w:p>
    <w:p>
      <w:r>
        <w:t>Valor absoluto: R$ 1.349.059,05 (10,2% do orçamento). Hipóteses: uso intensivo de drywall, blocos premium.</w:t>
      </w:r>
    </w:p>
    <w:p>
      <w:r>
        <w:rPr>
          <w:b/>
        </w:rPr>
        <w:t xml:space="preserve">Recomendação: </w:t>
      </w:r>
      <w:r>
        <w:t>Comparar quantidade de alvenaria vs drywall. Base Cartesian: ~2,25 m²/m² AC.</w:t>
      </w:r>
    </w:p>
    <w:p/>
    <w:p>
      <w:pPr>
        <w:pStyle w:val="Heading2"/>
      </w:pPr>
      <w:r>
        <w:t>4. IMPERMEABILIZAÇÃO ABAIXO DA MÉDIA (-38,7%)</w:t>
      </w:r>
    </w:p>
    <w:p>
      <w:r>
        <w:t>Valor: R$ 40,01/m² vs base R$ 65,29/m². Projeto litorâneo (Balneário Piçarras) → ambiente agressivo. Risco de subspecificação.</w:t>
      </w:r>
    </w:p>
    <w:p>
      <w:r>
        <w:rPr>
          <w:b/>
        </w:rPr>
        <w:t xml:space="preserve">Recomendação: </w:t>
      </w:r>
      <w:r>
        <w:t>Revisar memorial de impermeabilização — garantir manta asfáltica em áreas críticas.</w:t>
      </w:r>
    </w:p>
    <w:p/>
    <w:p>
      <w:r>
        <w:br w:type="page"/>
      </w:r>
    </w:p>
    <w:p>
      <w:pPr>
        <w:pStyle w:val="Heading1"/>
      </w:pPr>
      <w:r>
        <w:t>✅ RECOMENDAÇÕES FINAIS</w:t>
      </w:r>
    </w:p>
    <w:p>
      <w:pPr>
        <w:pStyle w:val="Heading2"/>
      </w:pPr>
      <w:r>
        <w:t>Ações Imediatas</w:t>
      </w:r>
    </w:p>
    <w:p>
      <w:pPr>
        <w:pStyle w:val="ListBullet"/>
      </w:pPr>
      <w:r>
        <w:t>Revisar especificação de fachada — justificar R$ 598/m²</w:t>
      </w:r>
    </w:p>
    <w:p>
      <w:pPr>
        <w:pStyle w:val="ListBullet"/>
      </w:pPr>
      <w:r>
        <w:t>Detalhar "Serviços Complementares" — R$ 2,5 M precisa ser auditado</w:t>
      </w:r>
    </w:p>
    <w:p>
      <w:pPr>
        <w:pStyle w:val="ListBullet"/>
      </w:pPr>
      <w:r>
        <w:t>Revisar impermeabilização — aumentar para ~R$ 65/m² (padrão base)</w:t>
      </w:r>
    </w:p>
    <w:p>
      <w:pPr>
        <w:pStyle w:val="ListBullet"/>
      </w:pPr>
      <w:r>
        <w:t>Validar quantidades de paredes — verificar área de alvenaria</w:t>
      </w:r>
    </w:p>
    <w:p>
      <w:pPr>
        <w:pStyle w:val="ListBullet"/>
      </w:pPr>
      <w:r>
        <w:t>Comparar esquadrias — checar área total vs AC</w:t>
      </w:r>
    </w:p>
    <w:p/>
    <w:p>
      <w:pPr>
        <w:pStyle w:val="Heading2"/>
      </w:pPr>
      <w:r>
        <w:t>Análise de Sensibilidade</w:t>
      </w:r>
    </w:p>
    <w:p>
      <w:r>
        <w:t>Se ajustar os 3 grupos críticos para a mediana base:</w:t>
        <w:br/>
      </w:r>
      <w:r>
        <w:t>• Fachada: R$ 598 → R$ 250/m² = -R$ 1.819.000</w:t>
        <w:br/>
      </w:r>
      <w:r>
        <w:t>• Serv. Complementares: R$ 488 → R$ 200/m² = -R$ 1.505.000</w:t>
        <w:br/>
      </w:r>
      <w:r>
        <w:t>• Paredes: R$ 258 → R$ 160/m² = -R$ 512.000</w:t>
        <w:br/>
      </w:r>
      <w:r>
        <w:rPr>
          <w:b/>
          <w:color w:val="009600"/>
        </w:rPr>
        <w:br/>
        <w:t>ECONOMIA POTENCIAL: -R$ 3.836.000 (-14,4%)</w:t>
      </w:r>
    </w:p>
    <w:p>
      <w:r>
        <w:rPr>
          <w:b/>
        </w:rPr>
        <w:t xml:space="preserve">Novo custo total: R$ 22.785.747 → R$ 4.360/m² </w:t>
      </w:r>
      <w:r>
        <w:t>(ainda 36% acima da base, mas mais realista)</w:t>
      </w:r>
    </w:p>
    <w:p>
      <w:r>
        <w:br w:type="page"/>
      </w:r>
    </w:p>
    <w:p>
      <w:pPr>
        <w:pStyle w:val="Heading1"/>
      </w:pPr>
      <w:r>
        <w:t>🎯 CONCLUSÃO</w:t>
      </w:r>
    </w:p>
    <w:p>
      <w:r>
        <w:t>O orçamento do Gran Royal está 59% acima da mediana de projetos similares na base Cartesian.</w:t>
        <w:br/>
        <w:br/>
        <w:t>Principais causas:</w:t>
        <w:br/>
        <w:t>1. Fachada premium (3,5× acima da base) — R$ 3,1 M</w:t>
        <w:br/>
        <w:t>2. Serviços complementares inflacionados (2,9× acima) — R$ 2,5 M</w:t>
        <w:br/>
        <w:t>3. Especificação de acabamentos acima do padrão médio</w:t>
        <w:br/>
        <w:br/>
        <w:t>Próximos passos:</w:t>
        <w:br/>
        <w:t>• Validar memorial descritivo (fachada, esquadrias, complementares)</w:t>
        <w:br/>
        <w:t>• Comparar com projetos similares entregues (mesmo padrão, localização, nº de UH)</w:t>
        <w:br/>
        <w:t>• Revisar composições de custos dos 3 grupos críticos</w:t>
        <w:br/>
      </w:r>
    </w:p>
    <w:p/>
    <w:p>
      <w:r>
        <w:rPr>
          <w:i/>
        </w:rPr>
        <w:t xml:space="preserve">Elaborado por: </w:t>
      </w:r>
      <w:r>
        <w:rPr>
          <w:i/>
        </w:rPr>
        <w:t>Cartesiano — Assistente Técnico Cartesian Engenharia</w:t>
        <w:br/>
      </w:r>
      <w:r>
        <w:rPr>
          <w:i/>
        </w:rPr>
        <w:t xml:space="preserve">Base de Referência: </w:t>
      </w:r>
      <w:r>
        <w:rPr>
          <w:i/>
        </w:rPr>
        <w:t>75 orçamentos executivos (22.000+ itens, 1.504 PUs consolidados)</w:t>
        <w:br/>
      </w:r>
      <w:r>
        <w:rPr>
          <w:i/>
        </w:rPr>
        <w:t xml:space="preserve">Data: </w:t>
      </w:r>
      <w:r>
        <w:rPr>
          <w:i/>
        </w:rPr>
        <w:t>27/03/2026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