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detalhada - Brickell vs empreendimentos semelhantes v00</w:t>
      </w:r>
    </w:p>
    <w:p>
      <w:pPr>
        <w:pStyle w:val="Heading2"/>
      </w:pPr>
      <w:r>
        <w:t>Conclusão executiva</w:t>
      </w:r>
    </w:p>
    <w:p>
      <w:pPr>
        <w:pStyle w:val="ListBullet"/>
      </w:pPr>
      <w:r>
        <w:t>Brickell: R$ 43.556.004,95, 4.018 R$/m².</w:t>
      </w:r>
    </w:p>
    <w:p>
      <w:pPr>
        <w:pStyle w:val="ListBullet"/>
      </w:pPr>
      <w:r>
        <w:t>Média dos 5 comparáveis: 3.832 R$/m²; Brickell 4,8% acima.</w:t>
      </w:r>
    </w:p>
    <w:p>
      <w:pPr>
        <w:pStyle w:val="ListBullet"/>
      </w:pPr>
      <w:r>
        <w:t>Mediana dos 5 comparáveis: 3.629 R$/m²; Brickell 10,7% acima.</w:t>
      </w:r>
    </w:p>
    <w:p>
      <w:pPr>
        <w:pStyle w:val="ListBullet"/>
      </w:pPr>
      <w:r>
        <w:t>Sem Neuhaus Origem, média direta: 3.630 R$/m²; Brickell 10,7% acima.</w:t>
      </w:r>
    </w:p>
    <w:p>
      <w:pPr>
        <w:pStyle w:val="ListBullet"/>
      </w:pPr>
      <w:r>
        <w:t>CUB atual adotado: R$ 3.850,00 (2026-05).</w:t>
      </w:r>
    </w:p>
    <w:p>
      <w:pPr>
        <w:pStyle w:val="ListBullet"/>
      </w:pPr>
      <w:r>
        <w:t>Média corrigida por CUB dos 5 comparáveis: 5.160 R$/m² VP; Brickell -22,1% contra essa média.</w:t>
      </w:r>
    </w:p>
    <w:p>
      <w:pPr>
        <w:pStyle w:val="ListBullet"/>
      </w:pPr>
      <w:r>
        <w:t>Mediana corrigida por CUB: 4.798 R$/m² VP; Brickell -16,3% contra a mediana.</w:t>
      </w:r>
    </w:p>
    <w:p>
      <w:pPr>
        <w:pStyle w:val="ListBullet"/>
      </w:pPr>
      <w:r>
        <w:t>Sem Neuhaus Origem, média direta corrigida: 4.918 R$/m² VP; Brickell -18,3% contra os comparáveis diretos corrigidos.</w:t>
      </w:r>
    </w:p>
    <w:p>
      <w:pPr>
        <w:pStyle w:val="ListBullet"/>
      </w:pPr>
      <w:r>
        <w:t>Leitura: após correção por CUB, Brickell fica competitivo contra a base histórica trazida a valor presente.</w:t>
      </w:r>
    </w:p>
    <w:p>
      <w:pPr>
        <w:pStyle w:val="Heading2"/>
      </w:pPr>
      <w:r>
        <w:t>Comparáveis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Empreendimento</w:t>
            </w:r>
          </w:p>
        </w:tc>
        <w:tc>
          <w:tcPr>
            <w:tcW w:type="dxa" w:w="1080"/>
          </w:tcPr>
          <w:p>
            <w:r>
              <w:t>Cidade</w:t>
            </w:r>
          </w:p>
        </w:tc>
        <w:tc>
          <w:tcPr>
            <w:tcW w:type="dxa" w:w="1080"/>
          </w:tcPr>
          <w:p>
            <w:r>
              <w:t>Padrão</w:t>
            </w:r>
          </w:p>
        </w:tc>
        <w:tc>
          <w:tcPr>
            <w:tcW w:type="dxa" w:w="1080"/>
          </w:tcPr>
          <w:p>
            <w:r>
              <w:t>AC</w:t>
            </w:r>
          </w:p>
        </w:tc>
        <w:tc>
          <w:tcPr>
            <w:tcW w:type="dxa" w:w="1080"/>
          </w:tcPr>
          <w:p>
            <w:r>
              <w:t>R$/m²</w:t>
            </w:r>
          </w:p>
        </w:tc>
        <w:tc>
          <w:tcPr>
            <w:tcW w:type="dxa" w:w="1080"/>
          </w:tcPr>
          <w:p>
            <w:r>
              <w:t>CUB</w:t>
            </w:r>
          </w:p>
        </w:tc>
        <w:tc>
          <w:tcPr>
            <w:tcW w:type="dxa" w:w="1080"/>
          </w:tcPr>
          <w:p>
            <w:r>
              <w:t>R$/m² VP</w:t>
            </w:r>
          </w:p>
        </w:tc>
        <w:tc>
          <w:tcPr>
            <w:tcW w:type="dxa" w:w="1080"/>
          </w:tcPr>
          <w:p>
            <w:r>
              <w:t>Leitura VP</w:t>
            </w:r>
          </w:p>
        </w:tc>
      </w:tr>
      <w:tr>
        <w:tc>
          <w:tcPr>
            <w:tcW w:type="dxa" w:w="1080"/>
          </w:tcPr>
          <w:p>
            <w:r>
              <w:t>adore-level-up</w:t>
            </w:r>
          </w:p>
        </w:tc>
        <w:tc>
          <w:tcPr>
            <w:tcW w:type="dxa" w:w="1080"/>
          </w:tcPr>
          <w:p>
            <w:r>
              <w:t>Balneário Camboriú/SC</w:t>
            </w:r>
          </w:p>
        </w:tc>
        <w:tc>
          <w:tcPr>
            <w:tcW w:type="dxa" w:w="1080"/>
          </w:tcPr>
          <w:p>
            <w:r>
              <w:t>medio-alto</w:t>
            </w:r>
          </w:p>
        </w:tc>
        <w:tc>
          <w:tcPr>
            <w:tcW w:type="dxa" w:w="1080"/>
          </w:tcPr>
          <w:p>
            <w:r>
              <w:t>11.103 m²</w:t>
            </w:r>
          </w:p>
        </w:tc>
        <w:tc>
          <w:tcPr>
            <w:tcW w:type="dxa" w:w="1080"/>
          </w:tcPr>
          <w:p>
            <w:r>
              <w:t>3.629</w:t>
            </w:r>
          </w:p>
        </w:tc>
        <w:tc>
          <w:tcPr>
            <w:tcW w:type="dxa" w:w="1080"/>
          </w:tcPr>
          <w:p>
            <w:r>
              <w:t>1,25</w:t>
            </w:r>
          </w:p>
        </w:tc>
        <w:tc>
          <w:tcPr>
            <w:tcW w:type="dxa" w:w="1080"/>
          </w:tcPr>
          <w:p>
            <w:r>
              <w:t>4.798</w:t>
            </w:r>
          </w:p>
        </w:tc>
        <w:tc>
          <w:tcPr>
            <w:tcW w:type="dxa" w:w="1080"/>
          </w:tcPr>
          <w:p>
            <w:r>
              <w:t>Acima do Brickell</w:t>
            </w:r>
          </w:p>
        </w:tc>
      </w:tr>
      <w:tr>
        <w:tc>
          <w:tcPr>
            <w:tcW w:type="dxa" w:w="1080"/>
          </w:tcPr>
          <w:p>
            <w:r>
              <w:t>terrassa-amaro</w:t>
            </w:r>
          </w:p>
        </w:tc>
        <w:tc>
          <w:tcPr>
            <w:tcW w:type="dxa" w:w="1080"/>
          </w:tcPr>
          <w:p>
            <w:r>
              <w:t>Itajaí/SC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10.479 m²</w:t>
            </w:r>
          </w:p>
        </w:tc>
        <w:tc>
          <w:tcPr>
            <w:tcW w:type="dxa" w:w="1080"/>
          </w:tcPr>
          <w:p>
            <w:r>
              <w:t>3.100</w:t>
            </w:r>
          </w:p>
        </w:tc>
        <w:tc>
          <w:tcPr>
            <w:tcW w:type="dxa" w:w="1080"/>
          </w:tcPr>
          <w:p>
            <w:r>
              <w:t>1,12</w:t>
            </w:r>
          </w:p>
        </w:tc>
        <w:tc>
          <w:tcPr>
            <w:tcW w:type="dxa" w:w="1080"/>
          </w:tcPr>
          <w:p>
            <w:r>
              <w:t>4.328</w:t>
            </w:r>
          </w:p>
        </w:tc>
        <w:tc>
          <w:tcPr>
            <w:tcW w:type="dxa" w:w="1080"/>
          </w:tcPr>
          <w:p>
            <w:r>
              <w:t>Acima do Brickell</w:t>
            </w:r>
          </w:p>
        </w:tc>
      </w:tr>
      <w:tr>
        <w:tc>
          <w:tcPr>
            <w:tcW w:type="dxa" w:w="1080"/>
          </w:tcPr>
          <w:p>
            <w:r>
              <w:t>mussi-empreendimentos-chelsea</w:t>
            </w:r>
          </w:p>
        </w:tc>
        <w:tc>
          <w:tcPr>
            <w:tcW w:type="dxa" w:w="1080"/>
          </w:tcPr>
          <w:p>
            <w:r>
              <w:t>Itajaí/SC</w:t>
            </w:r>
          </w:p>
        </w:tc>
        <w:tc>
          <w:tcPr>
            <w:tcW w:type="dxa" w:w="1080"/>
          </w:tcPr>
          <w:p>
            <w:r>
              <w:t>medio-alto</w:t>
            </w:r>
          </w:p>
        </w:tc>
        <w:tc>
          <w:tcPr>
            <w:tcW w:type="dxa" w:w="1080"/>
          </w:tcPr>
          <w:p>
            <w:r>
              <w:t>15.149 m²</w:t>
            </w:r>
          </w:p>
        </w:tc>
        <w:tc>
          <w:tcPr>
            <w:tcW w:type="dxa" w:w="1080"/>
          </w:tcPr>
          <w:p>
            <w:r>
              <w:t>3.443</w:t>
            </w:r>
          </w:p>
        </w:tc>
        <w:tc>
          <w:tcPr>
            <w:tcW w:type="dxa" w:w="1080"/>
          </w:tcPr>
          <w:p>
            <w:r>
              <w:t>1,21</w:t>
            </w:r>
          </w:p>
        </w:tc>
        <w:tc>
          <w:tcPr>
            <w:tcW w:type="dxa" w:w="1080"/>
          </w:tcPr>
          <w:p>
            <w:r>
              <w:t>4.658</w:t>
            </w:r>
          </w:p>
        </w:tc>
        <w:tc>
          <w:tcPr>
            <w:tcW w:type="dxa" w:w="1080"/>
          </w:tcPr>
          <w:p>
            <w:r>
              <w:t>Acima do Brickell</w:t>
            </w:r>
          </w:p>
        </w:tc>
      </w:tr>
      <w:tr>
        <w:tc>
          <w:tcPr>
            <w:tcW w:type="dxa" w:w="1080"/>
          </w:tcPr>
          <w:p>
            <w:r>
              <w:t>gdi-playa-negra</w:t>
            </w:r>
          </w:p>
        </w:tc>
        <w:tc>
          <w:tcPr>
            <w:tcW w:type="dxa" w:w="1080"/>
          </w:tcPr>
          <w:p>
            <w:r>
              <w:t>Florianópolis/SC</w:t>
            </w:r>
          </w:p>
        </w:tc>
        <w:tc>
          <w:tcPr>
            <w:tcW w:type="dxa" w:w="1080"/>
          </w:tcPr>
          <w:p>
            <w:r>
              <w:t>medio-alto</w:t>
            </w:r>
          </w:p>
        </w:tc>
        <w:tc>
          <w:tcPr>
            <w:tcW w:type="dxa" w:w="1080"/>
          </w:tcPr>
          <w:p>
            <w:r>
              <w:t>8.519 m²</w:t>
            </w:r>
          </w:p>
        </w:tc>
        <w:tc>
          <w:tcPr>
            <w:tcW w:type="dxa" w:w="1080"/>
          </w:tcPr>
          <w:p>
            <w:r>
              <w:t>4.347</w:t>
            </w:r>
          </w:p>
        </w:tc>
        <w:tc>
          <w:tcPr>
            <w:tcW w:type="dxa" w:w="1080"/>
          </w:tcPr>
          <w:p>
            <w:r>
              <w:t>1,53</w:t>
            </w:r>
          </w:p>
        </w:tc>
        <w:tc>
          <w:tcPr>
            <w:tcW w:type="dxa" w:w="1080"/>
          </w:tcPr>
          <w:p>
            <w:r>
              <w:t>5.889</w:t>
            </w:r>
          </w:p>
        </w:tc>
        <w:tc>
          <w:tcPr>
            <w:tcW w:type="dxa" w:w="1080"/>
          </w:tcPr>
          <w:p>
            <w:r>
              <w:t>Acima do Brickell</w:t>
            </w:r>
          </w:p>
        </w:tc>
      </w:tr>
      <w:tr>
        <w:tc>
          <w:tcPr>
            <w:tcW w:type="dxa" w:w="1080"/>
          </w:tcPr>
          <w:p>
            <w:r>
              <w:t>neuhaus-origem</w:t>
            </w:r>
          </w:p>
        </w:tc>
        <w:tc>
          <w:tcPr>
            <w:tcW w:type="dxa" w:w="1080"/>
          </w:tcPr>
          <w:p>
            <w:r>
              <w:t>Florianópolis/SC</w:t>
            </w:r>
          </w:p>
        </w:tc>
        <w:tc>
          <w:tcPr>
            <w:tcW w:type="dxa" w:w="1080"/>
          </w:tcPr>
          <w:p>
            <w:r>
              <w:t>alto</w:t>
            </w:r>
          </w:p>
        </w:tc>
        <w:tc>
          <w:tcPr>
            <w:tcW w:type="dxa" w:w="1080"/>
          </w:tcPr>
          <w:p>
            <w:r>
              <w:t>14.559 m²</w:t>
            </w:r>
          </w:p>
        </w:tc>
        <w:tc>
          <w:tcPr>
            <w:tcW w:type="dxa" w:w="1080"/>
          </w:tcPr>
          <w:p>
            <w:r>
              <w:t>4.642</w:t>
            </w:r>
          </w:p>
        </w:tc>
        <w:tc>
          <w:tcPr>
            <w:tcW w:type="dxa" w:w="1080"/>
          </w:tcPr>
          <w:p>
            <w:r>
              <w:t>1,59</w:t>
            </w:r>
          </w:p>
        </w:tc>
        <w:tc>
          <w:tcPr>
            <w:tcW w:type="dxa" w:w="1080"/>
          </w:tcPr>
          <w:p>
            <w:r>
              <w:t>6.129</w:t>
            </w:r>
          </w:p>
        </w:tc>
        <w:tc>
          <w:tcPr>
            <w:tcW w:type="dxa" w:w="1080"/>
          </w:tcPr>
          <w:p>
            <w:r>
              <w:t>Acima do Brickell</w:t>
            </w:r>
          </w:p>
        </w:tc>
      </w:tr>
    </w:tbl>
    <w:p>
      <w:pPr>
        <w:pStyle w:val="Heading2"/>
      </w:pPr>
      <w:r>
        <w:t>Leitura por empreendimento</w:t>
      </w:r>
    </w:p>
    <w:p>
      <w:pPr>
        <w:pStyle w:val="Heading3"/>
      </w:pPr>
      <w:r>
        <w:t>adore-level-up</w:t>
      </w:r>
    </w:p>
    <w:p>
      <w:pPr>
        <w:pStyle w:val="ListBullet"/>
      </w:pPr>
      <w:r>
        <w:t>Local/padrão: Balneário Camboriú/SC, medio-alto, residencial_vertical_alto.</w:t>
      </w:r>
    </w:p>
    <w:p>
      <w:pPr>
        <w:pStyle w:val="ListBullet"/>
      </w:pPr>
      <w:r>
        <w:t>Porte: AC 11.102,72 m²; UR n/d; total original R$ 40.287.855,69.</w:t>
      </w:r>
    </w:p>
    <w:p>
      <w:pPr>
        <w:pStyle w:val="ListBullet"/>
      </w:pPr>
      <w:r>
        <w:t>Custo: 3.629 R$/m². Brickell está 10,7% acima desse comparável.</w:t>
      </w:r>
    </w:p>
    <w:p>
      <w:pPr>
        <w:pStyle w:val="ListBullet"/>
      </w:pPr>
      <w:r>
        <w:t>CUB/data: 2.911,91 em 2025-08; CUB ratio 1,25; R$/m² em valor presente 4.798.</w:t>
      </w:r>
    </w:p>
    <w:p>
      <w:pPr>
        <w:pStyle w:val="ListBullet"/>
      </w:pPr>
      <w:r>
        <w:t>Total normalizado na AC do Brickell: R$ 39.335.662,34.</w:t>
      </w:r>
    </w:p>
    <w:p>
      <w:pPr>
        <w:pStyle w:val="ListBullet"/>
      </w:pPr>
      <w:r>
        <w:t>Total em valor presente normalizado na AC do Brickell: R$ 52.007.891,73.</w:t>
      </w:r>
    </w:p>
    <w:p>
      <w:pPr>
        <w:pStyle w:val="ListBullet"/>
      </w:pPr>
      <w:r>
        <w:t>Por que entra: Balneário Camboriú, SC, área praticamente igual ao Brickell e tipologia vertical alto/médio-alto. Bom comparável de porte e mercado litorâneo.</w:t>
      </w:r>
    </w:p>
    <w:p>
      <w:pPr>
        <w:pStyle w:val="Heading3"/>
      </w:pPr>
      <w:r>
        <w:t>terrassa-amaro</w:t>
      </w:r>
    </w:p>
    <w:p>
      <w:pPr>
        <w:pStyle w:val="ListBullet"/>
      </w:pPr>
      <w:r>
        <w:t>Local/padrão: Itajaí/SC, alto, residencial_vertical_alto.</w:t>
      </w:r>
    </w:p>
    <w:p>
      <w:pPr>
        <w:pStyle w:val="ListBullet"/>
      </w:pPr>
      <w:r>
        <w:t>Porte: AC 10.479,34 m²; UR n/d; total original R$ 32.487.650,19.</w:t>
      </w:r>
    </w:p>
    <w:p>
      <w:pPr>
        <w:pStyle w:val="ListBullet"/>
      </w:pPr>
      <w:r>
        <w:t>Custo: 3.100 R$/m². Brickell está 29,6% acima desse comparável.</w:t>
      </w:r>
    </w:p>
    <w:p>
      <w:pPr>
        <w:pStyle w:val="ListBullet"/>
      </w:pPr>
      <w:r>
        <w:t>CUB/data: 2.757,56 em 2024-04; CUB ratio 1,12; R$/m² em valor presente 4.328.</w:t>
      </w:r>
    </w:p>
    <w:p>
      <w:pPr>
        <w:pStyle w:val="ListBullet"/>
      </w:pPr>
      <w:r>
        <w:t>Total normalizado na AC do Brickell: R$ 33.606.715,62.</w:t>
      </w:r>
    </w:p>
    <w:p>
      <w:pPr>
        <w:pStyle w:val="ListBullet"/>
      </w:pPr>
      <w:r>
        <w:t>Total em valor presente normalizado na AC do Brickell: R$ 46.920.413,39.</w:t>
      </w:r>
    </w:p>
    <w:p>
      <w:pPr>
        <w:pStyle w:val="ListBullet"/>
      </w:pPr>
      <w:r>
        <w:t>Por que entra: Itajaí, SC, área muito próxima e padrão alto. Entra como referência local direta, mesmo com data-base não informada no consolidado.</w:t>
      </w:r>
    </w:p>
    <w:p>
      <w:pPr>
        <w:pStyle w:val="Heading3"/>
      </w:pPr>
      <w:r>
        <w:t>mussi-empreendimentos-chelsea</w:t>
      </w:r>
    </w:p>
    <w:p>
      <w:pPr>
        <w:pStyle w:val="ListBullet"/>
      </w:pPr>
      <w:r>
        <w:t>Local/padrão: Itajaí/SC, medio-alto, residencial_vertical_alto.</w:t>
      </w:r>
    </w:p>
    <w:p>
      <w:pPr>
        <w:pStyle w:val="ListBullet"/>
      </w:pPr>
      <w:r>
        <w:t>Porte: AC 15.149,39 m²; UR 41; total original R$ 52.163.485,94.</w:t>
      </w:r>
    </w:p>
    <w:p>
      <w:pPr>
        <w:pStyle w:val="ListBullet"/>
      </w:pPr>
      <w:r>
        <w:t>Custo: 3.443 R$/m². Brickell está 16,7% acima desse comparável.</w:t>
      </w:r>
    </w:p>
    <w:p>
      <w:pPr>
        <w:pStyle w:val="ListBullet"/>
      </w:pPr>
      <w:r>
        <w:t>CUB/data: 2.846,12 em 2024-11; CUB ratio 1,21; R$/m² em valor presente 4.658.</w:t>
      </w:r>
    </w:p>
    <w:p>
      <w:pPr>
        <w:pStyle w:val="ListBullet"/>
      </w:pPr>
      <w:r>
        <w:t>Total normalizado na AC do Brickell: R$ 37.326.114,21.</w:t>
      </w:r>
    </w:p>
    <w:p>
      <w:pPr>
        <w:pStyle w:val="ListBullet"/>
      </w:pPr>
      <w:r>
        <w:t>Total em valor presente normalizado na AC do Brickell: R$ 50.491.736,02.</w:t>
      </w:r>
    </w:p>
    <w:p>
      <w:pPr>
        <w:pStyle w:val="ListBullet"/>
      </w:pPr>
      <w:r>
        <w:t>Por que entra: Itajaí, SC, 41 UR contra 38 UR do Brickell. Área maior, mas produto e escala de unidades são muito próximos.</w:t>
      </w:r>
    </w:p>
    <w:p>
      <w:pPr>
        <w:pStyle w:val="Heading3"/>
      </w:pPr>
      <w:r>
        <w:t>gdi-playa-negra</w:t>
      </w:r>
    </w:p>
    <w:p>
      <w:pPr>
        <w:pStyle w:val="ListBullet"/>
      </w:pPr>
      <w:r>
        <w:t>Local/padrão: Florianópolis/SC, medio-alto, residencial_vertical_alto.</w:t>
      </w:r>
    </w:p>
    <w:p>
      <w:pPr>
        <w:pStyle w:val="ListBullet"/>
      </w:pPr>
      <w:r>
        <w:t>Porte: AC 8.518,60 m²; UR n/d; total original R$ 37.027.025,39.</w:t>
      </w:r>
    </w:p>
    <w:p>
      <w:pPr>
        <w:pStyle w:val="ListBullet"/>
      </w:pPr>
      <w:r>
        <w:t>Custo: 4.347 R$/m². Esse comparável está 8,2% acima do Brickell.</w:t>
      </w:r>
    </w:p>
    <w:p>
      <w:pPr>
        <w:pStyle w:val="ListBullet"/>
      </w:pPr>
      <w:r>
        <w:t>CUB/data: 2.841,51 em 2024-08; CUB ratio 1,53; R$/m² em valor presente 5.889.</w:t>
      </w:r>
    </w:p>
    <w:p>
      <w:pPr>
        <w:pStyle w:val="ListBullet"/>
      </w:pPr>
      <w:r>
        <w:t>Total normalizado na AC do Brickell: R$ 47.118.599,85.</w:t>
      </w:r>
    </w:p>
    <w:p>
      <w:pPr>
        <w:pStyle w:val="ListBullet"/>
      </w:pPr>
      <w:r>
        <w:t>Total em valor presente normalizado na AC do Brickell: R$ 63.841.622,74.</w:t>
      </w:r>
    </w:p>
    <w:p>
      <w:pPr>
        <w:pStyle w:val="ListBullet"/>
      </w:pPr>
      <w:r>
        <w:t>Por que entra: Florianópolis, SC, residencial vertical alto/médio-alto, R$/m² próximo ao Brickell. Funciona como comparável de patamar superior operacional.</w:t>
      </w:r>
    </w:p>
    <w:p>
      <w:pPr>
        <w:pStyle w:val="Heading3"/>
      </w:pPr>
      <w:r>
        <w:t>neuhaus-origem</w:t>
      </w:r>
    </w:p>
    <w:p>
      <w:pPr>
        <w:pStyle w:val="ListBullet"/>
      </w:pPr>
      <w:r>
        <w:t>Local/padrão: Florianópolis/SC, alto, residencial_vertical_alto.</w:t>
      </w:r>
    </w:p>
    <w:p>
      <w:pPr>
        <w:pStyle w:val="ListBullet"/>
      </w:pPr>
      <w:r>
        <w:t>Porte: AC 14.559,12 m²; UR n/d; total original R$ 67.590.131,02.</w:t>
      </w:r>
    </w:p>
    <w:p>
      <w:pPr>
        <w:pStyle w:val="ListBullet"/>
      </w:pPr>
      <w:r>
        <w:t>Custo: 4.642 R$/m². Esse comparável está 15,5% acima do Brickell.</w:t>
      </w:r>
    </w:p>
    <w:p>
      <w:pPr>
        <w:pStyle w:val="ListBullet"/>
      </w:pPr>
      <w:r>
        <w:t>CUB/data: 2.916,12 em 2025-03; CUB ratio 1,59; R$/m² em valor presente 6.129.</w:t>
      </w:r>
    </w:p>
    <w:p>
      <w:pPr>
        <w:pStyle w:val="ListBullet"/>
      </w:pPr>
      <w:r>
        <w:t>Total normalizado na AC do Brickell: R$ 50.325.705,56.</w:t>
      </w:r>
    </w:p>
    <w:p>
      <w:pPr>
        <w:pStyle w:val="ListBullet"/>
      </w:pPr>
      <w:r>
        <w:t>Total em valor presente normalizado na AC do Brickell: R$ 66.442.384,54.</w:t>
      </w:r>
    </w:p>
    <w:p>
      <w:pPr>
        <w:pStyle w:val="ListBullet"/>
      </w:pPr>
      <w:r>
        <w:t>Por que entra: Florianópolis, SC, padrão alto e área maior. Usei como limite superior para entender se Brickell está perto do teto premium.</w:t>
      </w:r>
    </w:p>
    <w:p>
      <w:pPr>
        <w:pStyle w:val="Heading2"/>
      </w:pPr>
      <w:r>
        <w:t>Por que o Brickell aparece acima da média direta</w:t>
      </w:r>
    </w:p>
    <w:p>
      <w:pPr>
        <w:pStyle w:val="ListBullet"/>
      </w:pPr>
      <w:r>
        <w:t>O Brickell foi modelado como padrão alto, não médio-alto puro.</w:t>
      </w:r>
    </w:p>
    <w:p>
      <w:pPr>
        <w:pStyle w:val="ListBullet"/>
      </w:pPr>
      <w:r>
        <w:t>A torre tem 29 níveis, altura descendente PPCI de 67,32 m e 4 níveis de garagem.</w:t>
      </w:r>
    </w:p>
    <w:p>
      <w:pPr>
        <w:pStyle w:val="ListBullet"/>
      </w:pPr>
      <w:r>
        <w:t>O projeto tem climatização com pacote CLI real, gerador, pressurização/controle de fumaça, piscina e lazer de cobertura.</w:t>
      </w:r>
    </w:p>
    <w:p>
      <w:pPr>
        <w:pStyle w:val="ListBullet"/>
      </w:pPr>
      <w:r>
        <w:t>Complementares e louças foram corrigidos no v00 porque o default V2 ficava baixo para o padrão do produto.</w:t>
      </w:r>
    </w:p>
    <w:p>
      <w:pPr>
        <w:pStyle w:val="ListBullet"/>
      </w:pPr>
      <w:r>
        <w:t>Na leitura nominal, comparáveis antigos puxavam a média para baixo; na leitura por CUB, esse efeito é removido.</w:t>
      </w:r>
    </w:p>
    <w:p>
      <w:pPr>
        <w:pStyle w:val="Heading2"/>
      </w:pPr>
      <w:r>
        <w:t>Riscos e próximos passos</w:t>
      </w:r>
    </w:p>
    <w:p>
      <w:pPr>
        <w:pStyle w:val="ListBullet"/>
      </w:pPr>
      <w:r>
        <w:t>Correção CUB aplicada com o mesmo CUB atual do pacote Brickell v00.</w:t>
      </w:r>
    </w:p>
    <w:p>
      <w:pPr>
        <w:pStyle w:val="ListBullet"/>
      </w:pPr>
      <w:r>
        <w:t>Comparação usa consolidado de R$/m², não abertura item a item completa de cada obra.</w:t>
      </w:r>
    </w:p>
    <w:p>
      <w:pPr>
        <w:pStyle w:val="ListBullet"/>
      </w:pPr>
      <w:r>
        <w:t>Se o CUB atual for substituído por outro índice oficial/Sinduscon, os valores presentes mudam proporcionalmente.</w:t>
      </w:r>
    </w:p>
    <w:p>
      <w:pPr>
        <w:pStyle w:val="ListBullet"/>
      </w:pPr>
      <w:r>
        <w:t>Validar fachada, vagas, fundação, esquadrias e acabamentos para a v01 do Brickell.</w:t>
      </w:r>
    </w:p>
    <w:p>
      <w:pPr>
        <w:pStyle w:val="ListBullet"/>
      </w:pPr>
      <w:r>
        <w:t>Para versão de apresentação externa, anonimizar os nomes dos empreendimentos.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