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Justificativa de Itens Acima da Média - Brickell Modern Home - Nowa v00</w:t>
      </w:r>
    </w:p>
    <w:p>
      <w:r>
        <w:t>Gerado: 2026-06-09T20:46:14-03:00 BRT</w:t>
      </w:r>
    </w:p>
    <w:p>
      <w:r>
        <w:t>Comparação interna filtrada por obras residenciais verticais de padrão alto/médio-alto. Nomes de obras da base Cartesian foram omitidos por confidencialidade.</w:t>
      </w:r>
    </w:p>
    <w:p>
      <w:r>
        <w:t>Total estimado: R$ 43.556.004,95 | R$/m² AC: 4.018 | CUB ratio: 1,04 | Custo/UR: R$ 1.146.210,66</w:t>
      </w:r>
    </w:p>
    <w:p>
      <w:pPr>
        <w:pStyle w:val="Heading2"/>
      </w:pPr>
      <w:r>
        <w:t>Maiores macrogrupos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Macrogrupo</w:t>
            </w:r>
          </w:p>
        </w:tc>
        <w:tc>
          <w:tcPr>
            <w:tcW w:type="dxa" w:w="1728"/>
          </w:tcPr>
          <w:p>
            <w:r>
              <w:t>R$/m² v00</w:t>
            </w:r>
          </w:p>
        </w:tc>
        <w:tc>
          <w:tcPr>
            <w:tcW w:type="dxa" w:w="1728"/>
          </w:tcPr>
          <w:p>
            <w:r>
              <w:t>Ref. alto</w:t>
            </w:r>
          </w:p>
        </w:tc>
        <w:tc>
          <w:tcPr>
            <w:tcW w:type="dxa" w:w="1728"/>
          </w:tcPr>
          <w:p>
            <w:r>
              <w:t>Ref. alto P75</w:t>
            </w:r>
          </w:p>
        </w:tc>
        <w:tc>
          <w:tcPr>
            <w:tcW w:type="dxa" w:w="1728"/>
          </w:tcPr>
          <w:p>
            <w:r>
              <w:t>Leitura técnica</w:t>
            </w:r>
          </w:p>
        </w:tc>
      </w:tr>
      <w:tr>
        <w:tc>
          <w:tcPr>
            <w:tcW w:type="dxa" w:w="1728"/>
          </w:tcPr>
          <w:p>
            <w:r>
              <w:t>Supraestrutura</w:t>
            </w:r>
          </w:p>
        </w:tc>
        <w:tc>
          <w:tcPr>
            <w:tcW w:type="dxa" w:w="1728"/>
          </w:tcPr>
          <w:p>
            <w:r>
              <w:t>786</w:t>
            </w:r>
          </w:p>
        </w:tc>
        <w:tc>
          <w:tcPr>
            <w:tcW w:type="dxa" w:w="1728"/>
          </w:tcPr>
          <w:p>
            <w:r>
              <w:t>718</w:t>
            </w:r>
          </w:p>
        </w:tc>
        <w:tc>
          <w:tcPr>
            <w:tcW w:type="dxa" w:w="1728"/>
          </w:tcPr>
          <w:p>
            <w:r>
              <w:t>855</w:t>
            </w:r>
          </w:p>
        </w:tc>
        <w:tc>
          <w:tcPr>
            <w:tcW w:type="dxa" w:w="1728"/>
          </w:tcPr>
          <w:p>
            <w:r>
              <w:t>IFC estrutural com 29 níveis, 762 lajes, 1.410 vigas, 876 pilares; laje convencional v00.</w:t>
            </w:r>
          </w:p>
        </w:tc>
      </w:tr>
      <w:tr>
        <w:tc>
          <w:tcPr>
            <w:tcW w:type="dxa" w:w="1728"/>
          </w:tcPr>
          <w:p>
            <w:r>
              <w:t>Instalações</w:t>
            </w:r>
          </w:p>
        </w:tc>
        <w:tc>
          <w:tcPr>
            <w:tcW w:type="dxa" w:w="1728"/>
          </w:tcPr>
          <w:p>
            <w:r>
              <w:t>476</w:t>
            </w:r>
          </w:p>
        </w:tc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>
              <w:t>454</w:t>
            </w:r>
          </w:p>
        </w:tc>
        <w:tc>
          <w:tcPr>
            <w:tcW w:type="dxa" w:w="1728"/>
          </w:tcPr>
          <w:p>
            <w:r>
              <w:t>ELE/HID/PCI completos, gás, preventivo, medições e prumadas de torre alta.</w:t>
            </w:r>
          </w:p>
        </w:tc>
      </w:tr>
      <w:tr>
        <w:tc>
          <w:tcPr>
            <w:tcW w:type="dxa" w:w="1728"/>
          </w:tcPr>
          <w:p>
            <w:r>
              <w:t>Gerenciamento</w:t>
            </w:r>
          </w:p>
        </w:tc>
        <w:tc>
          <w:tcPr>
            <w:tcW w:type="dxa" w:w="1728"/>
          </w:tcPr>
          <w:p>
            <w:r>
              <w:t>468</w:t>
            </w:r>
          </w:p>
        </w:tc>
        <w:tc>
          <w:tcPr>
            <w:tcW w:type="dxa" w:w="1728"/>
          </w:tcPr>
          <w:p>
            <w:r>
              <w:t>640</w:t>
            </w:r>
          </w:p>
        </w:tc>
        <w:tc>
          <w:tcPr>
            <w:tcW w:type="dxa" w:w="1728"/>
          </w:tcPr>
          <w:p>
            <w:r>
              <w:t>1.716</w:t>
            </w:r>
          </w:p>
        </w:tc>
        <w:tc>
          <w:tcPr>
            <w:tcW w:type="dxa" w:w="1728"/>
          </w:tcPr>
          <w:p>
            <w:r>
              <w:t>36 meses, torre alta, equipe técnica e canteiro do V2; benchmark alto Supabase.</w:t>
            </w:r>
          </w:p>
        </w:tc>
      </w:tr>
      <w:tr>
        <w:tc>
          <w:tcPr>
            <w:tcW w:type="dxa" w:w="1728"/>
          </w:tcPr>
          <w:p>
            <w:r>
              <w:t>Esquadrias</w:t>
            </w:r>
          </w:p>
        </w:tc>
        <w:tc>
          <w:tcPr>
            <w:tcW w:type="dxa" w:w="1728"/>
          </w:tcPr>
          <w:p>
            <w:r>
              <w:t>374</w:t>
            </w:r>
          </w:p>
        </w:tc>
        <w:tc>
          <w:tcPr>
            <w:tcW w:type="dxa" w:w="1728"/>
          </w:tcPr>
          <w:p>
            <w:r>
              <w:t>395</w:t>
            </w:r>
          </w:p>
        </w:tc>
        <w:tc>
          <w:tcPr>
            <w:tcW w:type="dxa" w:w="1728"/>
          </w:tcPr>
          <w:p>
            <w:r>
              <w:t>554</w:t>
            </w:r>
          </w:p>
        </w:tc>
        <w:tc>
          <w:tcPr>
            <w:tcW w:type="dxa" w:w="1728"/>
          </w:tcPr>
          <w:p>
            <w:r>
              <w:t>Alumínio/vidro por benchmark alto; quadro não localizado em PDF.</w:t>
            </w:r>
          </w:p>
        </w:tc>
      </w:tr>
      <w:tr>
        <w:tc>
          <w:tcPr>
            <w:tcW w:type="dxa" w:w="1728"/>
          </w:tcPr>
          <w:p>
            <w:r>
              <w:t>Complementares</w:t>
            </w:r>
          </w:p>
        </w:tc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Lazer com piscina, áreas comuns, comunicação visual e paisagismo por índice.</w:t>
            </w:r>
          </w:p>
        </w:tc>
      </w:tr>
      <w:tr>
        <w:tc>
          <w:tcPr>
            <w:tcW w:type="dxa" w:w="1728"/>
          </w:tcPr>
          <w:p>
            <w:r>
              <w:t>Fachada</w:t>
            </w:r>
          </w:p>
        </w:tc>
        <w:tc>
          <w:tcPr>
            <w:tcW w:type="dxa" w:w="1728"/>
          </w:tcPr>
          <w:p>
            <w:r>
              <w:t>237</w:t>
            </w:r>
          </w:p>
        </w:tc>
        <w:tc>
          <w:tcPr>
            <w:tcW w:type="dxa" w:w="1728"/>
          </w:tcPr>
          <w:p>
            <w:r>
              <w:t>207</w:t>
            </w:r>
          </w:p>
        </w:tc>
        <w:tc>
          <w:tcPr>
            <w:tcW w:type="dxa" w:w="1728"/>
          </w:tcPr>
          <w:p>
            <w:r>
              <w:t>253</w:t>
            </w:r>
          </w:p>
        </w:tc>
        <w:tc>
          <w:tcPr>
            <w:tcW w:type="dxa" w:w="1728"/>
          </w:tcPr>
          <w:p>
            <w:r>
              <w:t>Textura como premissa conservadora; projeto de fachada não localizado.</w:t>
            </w:r>
          </w:p>
        </w:tc>
      </w:tr>
      <w:tr>
        <w:tc>
          <w:tcPr>
            <w:tcW w:type="dxa" w:w="1728"/>
          </w:tcPr>
          <w:p>
            <w:r>
              <w:t>Sist. Especiais</w:t>
            </w:r>
          </w:p>
        </w:tc>
        <w:tc>
          <w:tcPr>
            <w:tcW w:type="dxa" w:w="1728"/>
          </w:tcPr>
          <w:p>
            <w:r>
              <w:t>221</w:t>
            </w:r>
          </w:p>
        </w:tc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>
            <w:r>
              <w:t>Elevadores, gerador, piscina, pressurização, SPDA, bombas e ventilação de garagens.</w:t>
            </w:r>
          </w:p>
        </w:tc>
      </w:tr>
      <w:tr>
        <w:tc>
          <w:tcPr>
            <w:tcW w:type="dxa" w:w="1728"/>
          </w:tcPr>
          <w:p>
            <w:r>
              <w:t>Pisos</w:t>
            </w:r>
          </w:p>
        </w:tc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237</w:t>
            </w:r>
          </w:p>
        </w:tc>
        <w:tc>
          <w:tcPr>
            <w:tcW w:type="dxa" w:w="1728"/>
          </w:tcPr>
          <w:p>
            <w:r>
              <w:t>638</w:t>
            </w:r>
          </w:p>
        </w:tc>
        <w:tc>
          <w:tcPr>
            <w:tcW w:type="dxa" w:w="1728"/>
          </w:tcPr>
          <w:p>
            <w:r>
              <w:t>Porcelanato como premissa v00 para padrão alto.</w:t>
            </w:r>
          </w:p>
        </w:tc>
      </w:tr>
      <w:tr>
        <w:tc>
          <w:tcPr>
            <w:tcW w:type="dxa" w:w="1728"/>
          </w:tcPr>
          <w:p>
            <w:r>
              <w:t>Alvenaria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Bloco cerâmico ALV + drywall ST/RU em PDFs de vedação.</w:t>
            </w:r>
          </w:p>
        </w:tc>
      </w:tr>
    </w:tbl>
    <w:p/>
    <w:p>
      <w:pPr>
        <w:pStyle w:val="Heading2"/>
      </w:pPr>
      <w:r>
        <w:t>Referências Ampli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Referência</w:t>
            </w:r>
          </w:p>
        </w:tc>
        <w:tc>
          <w:tcPr>
            <w:tcW w:type="dxa" w:w="1234"/>
          </w:tcPr>
          <w:p>
            <w:r>
              <w:t>Local</w:t>
            </w:r>
          </w:p>
        </w:tc>
        <w:tc>
          <w:tcPr>
            <w:tcW w:type="dxa" w:w="1234"/>
          </w:tcPr>
          <w:p>
            <w:r>
              <w:t>Área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Indexado</w:t>
            </w:r>
          </w:p>
        </w:tc>
        <w:tc>
          <w:tcPr>
            <w:tcW w:type="dxa" w:w="1234"/>
          </w:tcPr>
          <w:p>
            <w:r>
              <w:t>Trend</w:t>
            </w:r>
          </w:p>
        </w:tc>
        <w:tc>
          <w:tcPr>
            <w:tcW w:type="dxa" w:w="1234"/>
          </w:tcPr>
          <w:p>
            <w:r>
              <w:t>Comprometido</w:t>
            </w:r>
          </w:p>
        </w:tc>
      </w:tr>
      <w:tr>
        <w:tc>
          <w:tcPr>
            <w:tcW w:type="dxa" w:w="1234"/>
          </w:tcPr>
          <w:p>
            <w:r>
              <w:t>Blue Coast FG</w:t>
            </w:r>
          </w:p>
        </w:tc>
        <w:tc>
          <w:tcPr>
            <w:tcW w:type="dxa" w:w="1234"/>
          </w:tcPr>
          <w:p>
            <w:r>
              <w:t>SC/Itajaí</w:t>
            </w:r>
          </w:p>
        </w:tc>
        <w:tc>
          <w:tcPr>
            <w:tcW w:type="dxa" w:w="1234"/>
          </w:tcPr>
          <w:p>
            <w:r>
              <w:t>13.818</w:t>
            </w:r>
          </w:p>
        </w:tc>
        <w:tc>
          <w:tcPr>
            <w:tcW w:type="dxa" w:w="1234"/>
          </w:tcPr>
          <w:p>
            <w:r>
              <w:t>3.982</w:t>
            </w:r>
          </w:p>
        </w:tc>
        <w:tc>
          <w:tcPr>
            <w:tcW w:type="dxa" w:w="1234"/>
          </w:tcPr>
          <w:p>
            <w:r>
              <w:t>5.930</w:t>
            </w:r>
          </w:p>
        </w:tc>
        <w:tc>
          <w:tcPr>
            <w:tcW w:type="dxa" w:w="1234"/>
          </w:tcPr>
          <w:p>
            <w:r>
              <w:t>6.380</w:t>
            </w:r>
          </w:p>
        </w:tc>
        <w:tc>
          <w:tcPr>
            <w:tcW w:type="dxa" w:w="1234"/>
          </w:tcPr>
          <w:p>
            <w:r>
              <w:t>5.889</w:t>
            </w:r>
          </w:p>
        </w:tc>
      </w:tr>
      <w:tr>
        <w:tc>
          <w:tcPr>
            <w:tcW w:type="dxa" w:w="1234"/>
          </w:tcPr>
          <w:p>
            <w:r>
              <w:t>Live</w:t>
            </w:r>
          </w:p>
        </w:tc>
        <w:tc>
          <w:tcPr>
            <w:tcW w:type="dxa" w:w="1234"/>
          </w:tcPr>
          <w:p>
            <w:r>
              <w:t>SP/São Paulo</w:t>
            </w:r>
          </w:p>
        </w:tc>
        <w:tc>
          <w:tcPr>
            <w:tcW w:type="dxa" w:w="1234"/>
          </w:tcPr>
          <w:p>
            <w:r>
              <w:t>14.888</w:t>
            </w:r>
          </w:p>
        </w:tc>
        <w:tc>
          <w:tcPr>
            <w:tcW w:type="dxa" w:w="1234"/>
          </w:tcPr>
          <w:p>
            <w:r>
              <w:t>2.913</w:t>
            </w:r>
          </w:p>
        </w:tc>
        <w:tc>
          <w:tcPr>
            <w:tcW w:type="dxa" w:w="1234"/>
          </w:tcPr>
          <w:p>
            <w:r>
              <w:t>3.326</w:t>
            </w:r>
          </w:p>
        </w:tc>
        <w:tc>
          <w:tcPr>
            <w:tcW w:type="dxa" w:w="1234"/>
          </w:tcPr>
          <w:p>
            <w:r>
              <w:t>4.054</w:t>
            </w:r>
          </w:p>
        </w:tc>
        <w:tc>
          <w:tcPr>
            <w:tcW w:type="dxa" w:w="1234"/>
          </w:tcPr>
          <w:p>
            <w:r>
              <w:t>3.607</w:t>
            </w:r>
          </w:p>
        </w:tc>
      </w:tr>
      <w:tr>
        <w:tc>
          <w:tcPr>
            <w:tcW w:type="dxa" w:w="1234"/>
          </w:tcPr>
          <w:p>
            <w:r>
              <w:t>Voss</w:t>
            </w:r>
          </w:p>
        </w:tc>
        <w:tc>
          <w:tcPr>
            <w:tcW w:type="dxa" w:w="1234"/>
          </w:tcPr>
          <w:p>
            <w:r>
              <w:t>PR/Curitiba</w:t>
            </w:r>
          </w:p>
        </w:tc>
        <w:tc>
          <w:tcPr>
            <w:tcW w:type="dxa" w:w="1234"/>
          </w:tcPr>
          <w:p>
            <w:r>
              <w:t>14.771</w:t>
            </w:r>
          </w:p>
        </w:tc>
        <w:tc>
          <w:tcPr>
            <w:tcW w:type="dxa" w:w="1234"/>
          </w:tcPr>
          <w:p>
            <w:r>
              <w:t>3.011</w:t>
            </w:r>
          </w:p>
        </w:tc>
        <w:tc>
          <w:tcPr>
            <w:tcW w:type="dxa" w:w="1234"/>
          </w:tcPr>
          <w:p>
            <w:r>
              <w:t>3.316</w:t>
            </w:r>
          </w:p>
        </w:tc>
        <w:tc>
          <w:tcPr>
            <w:tcW w:type="dxa" w:w="1234"/>
          </w:tcPr>
          <w:p>
            <w:r>
              <w:t>3.268</w:t>
            </w:r>
          </w:p>
        </w:tc>
        <w:tc>
          <w:tcPr>
            <w:tcW w:type="dxa" w:w="1234"/>
          </w:tcPr>
          <w:p>
            <w:r>
              <w:t>1.857</w:t>
            </w:r>
          </w:p>
        </w:tc>
      </w:tr>
    </w:tbl>
    <w:p/>
    <w:p>
      <w:pPr>
        <w:pStyle w:val="Heading2"/>
      </w:pPr>
      <w:r>
        <w:t>Validações pendentes</w:t>
      </w:r>
    </w:p>
    <w:p>
      <w:pPr>
        <w:pStyle w:val="ListBullet"/>
      </w:pPr>
      <w:r>
        <w:t>Vagas reais e quadro de áreas da arquitetura em DWG.</w:t>
      </w:r>
    </w:p>
    <w:p>
      <w:pPr>
        <w:pStyle w:val="ListBullet"/>
      </w:pPr>
      <w:r>
        <w:t>Fachada real: textura, cerâmica, ACM ou pele de vidro.</w:t>
      </w:r>
    </w:p>
    <w:p>
      <w:pPr>
        <w:pStyle w:val="ListBullet"/>
      </w:pPr>
      <w:r>
        <w:t>Sistema estrutural final: confirmar se é convencional ou protendido.</w:t>
      </w:r>
    </w:p>
    <w:p>
      <w:pPr>
        <w:pStyle w:val="ListBullet"/>
      </w:pPr>
      <w:r>
        <w:t>Quantidade de elevadores/paradas e orçamento TKE/Atlas/Schindler, se existir.</w:t>
      </w:r>
    </w:p>
    <w:p>
      <w:pPr>
        <w:pStyle w:val="ListBullet"/>
      </w:pPr>
      <w:r>
        <w:t>Memorial de acabamentos de pisos, louças, metais e esquadrias.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