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 da Lagoa - Análise dos projetos v01</w:t>
      </w:r>
    </w:p>
    <w:p>
      <w:pPr>
        <w:pStyle w:val="Heading1"/>
      </w:pPr>
      <w:r>
        <w:t>Pasta analisada</w:t>
      </w:r>
    </w:p>
    <w:p>
      <w:r>
        <w:t>`G:\Drives compartilhados\03 CTN Projetos\2. Projetos em Andamento\AMS Empreendimentos\04. Custo\04.1 Custo - Paramétrico\01 - Projetos`</w:t>
      </w:r>
    </w:p>
    <w:p>
      <w:r>
        <w:t>As pastas `02 - Diretos` e `03 - Indiretos` no mesmo diretório de custo estavam vazias no momento da geração. Portanto, a v01 usa projetos como fonte técnica e Supabase/Ampli/CUB como fonte de custo.</w:t>
      </w:r>
    </w:p>
    <w:p>
      <w:pPr>
        <w:pStyle w:val="Heading1"/>
      </w:pPr>
      <w:r>
        <w:t>Inventário consolidado</w:t>
      </w:r>
    </w:p>
    <w:p>
      <w:r>
        <w:rPr>
          <w:rFonts w:ascii="Consolas" w:hAnsi="Consolas"/>
          <w:sz w:val="16"/>
        </w:rPr>
        <w:t>| Disciplina | Arquivos | MB | Extensões |</w:t>
      </w:r>
    </w:p>
    <w:p>
      <w:r>
        <w:rPr>
          <w:rFonts w:ascii="Consolas" w:hAnsi="Consolas"/>
          <w:sz w:val="16"/>
        </w:rPr>
        <w:t>| --- | --- | --- | --- |</w:t>
      </w:r>
    </w:p>
    <w:p>
      <w:r>
        <w:rPr>
          <w:rFonts w:ascii="Consolas" w:hAnsi="Consolas"/>
          <w:sz w:val="16"/>
        </w:rPr>
        <w:t>| ARQ | 28 | 894.4 | .dwg:19, .ifc:1, .pdf:8 |</w:t>
      </w:r>
    </w:p>
    <w:p>
      <w:r>
        <w:rPr>
          <w:rFonts w:ascii="Consolas" w:hAnsi="Consolas"/>
          <w:sz w:val="16"/>
        </w:rPr>
        <w:t>| CLI | 29 | 36.54 | .dwg:14, .pdf:15 |</w:t>
      </w:r>
    </w:p>
    <w:p>
      <w:r>
        <w:rPr>
          <w:rFonts w:ascii="Consolas" w:hAnsi="Consolas"/>
          <w:sz w:val="16"/>
        </w:rPr>
        <w:t>| ELETRICA | 22 | 279.09 | .dwg:10, .ifc:2, .pdf:10 |</w:t>
      </w:r>
    </w:p>
    <w:p>
      <w:r>
        <w:rPr>
          <w:rFonts w:ascii="Consolas" w:hAnsi="Consolas"/>
          <w:sz w:val="16"/>
        </w:rPr>
        <w:t>| EST | 94 | 392.75 | .dwg:54, .ifc:6, .pdf:28, .rvt:6 |</w:t>
      </w:r>
    </w:p>
    <w:p>
      <w:r>
        <w:rPr>
          <w:rFonts w:ascii="Consolas" w:hAnsi="Consolas"/>
          <w:sz w:val="16"/>
        </w:rPr>
        <w:t>| ETE | 5 | 15.73 | .pdf:5 |</w:t>
      </w:r>
    </w:p>
    <w:p>
      <w:r>
        <w:rPr>
          <w:rFonts w:ascii="Consolas" w:hAnsi="Consolas"/>
          <w:sz w:val="16"/>
        </w:rPr>
        <w:t>| FUND | 16 | 4.55 | .dwg:8, .pdf:8 |</w:t>
      </w:r>
    </w:p>
    <w:p>
      <w:r>
        <w:rPr>
          <w:rFonts w:ascii="Consolas" w:hAnsi="Consolas"/>
          <w:sz w:val="16"/>
        </w:rPr>
        <w:t>| HID | 37 | 602.41 | .dwg:17, .ifc:2, .jpg:1, .pdf:17 |</w:t>
      </w:r>
    </w:p>
    <w:p>
      <w:r>
        <w:rPr>
          <w:rFonts w:ascii="Consolas" w:hAnsi="Consolas"/>
          <w:sz w:val="16"/>
        </w:rPr>
        <w:t>| INTERIORES | 74 | 918.71 | .dwg:42, .ifc:2, .pdf:30 |</w:t>
      </w:r>
    </w:p>
    <w:p>
      <w:r>
        <w:rPr>
          <w:rFonts w:ascii="Consolas" w:hAnsi="Consolas"/>
          <w:sz w:val="16"/>
        </w:rPr>
        <w:t>| PAISAGISMO | 4 | 14.91 | .dwg:1, .pdf:3 |</w:t>
      </w:r>
    </w:p>
    <w:p>
      <w:r>
        <w:rPr>
          <w:rFonts w:ascii="Consolas" w:hAnsi="Consolas"/>
          <w:sz w:val="16"/>
        </w:rPr>
        <w:t>| PCI | 24 | 107.94 | .dwg:10, .ifc:2, .pdf:12 |</w:t>
      </w:r>
    </w:p>
    <w:p>
      <w:r>
        <w:rPr>
          <w:rFonts w:ascii="Consolas" w:hAnsi="Consolas"/>
          <w:sz w:val="16"/>
        </w:rPr>
        <w:t>| PISCINA | 5 | 25.57 | .dwg:2, .ifc:1, .pdf:2 |</w:t>
      </w:r>
    </w:p>
    <w:p>
      <w:r>
        <w:rPr>
          <w:rFonts w:ascii="Consolas" w:hAnsi="Consolas"/>
          <w:sz w:val="16"/>
        </w:rPr>
        <w:t>| SPDA | 7 | 11.81 | .dwg:3, .ifc:1, .pdf:3 |</w:t>
      </w:r>
    </w:p>
    <w:p>
      <w:r>
        <w:rPr>
          <w:rFonts w:ascii="Consolas" w:hAnsi="Consolas"/>
          <w:sz w:val="16"/>
        </w:rPr>
        <w:t>| TEL | 20 | 54.63 | .dwg:10, .pdf:10 |</w:t>
      </w:r>
    </w:p>
    <w:p>
      <w:r>
        <w:rPr>
          <w:rFonts w:ascii="Consolas" w:hAnsi="Consolas"/>
          <w:sz w:val="16"/>
        </w:rPr>
        <w:t>| _Compactadas | 15 | 1167.79 | .zip:15 |</w:t>
      </w:r>
    </w:p>
    <w:p>
      <w:pPr>
        <w:pStyle w:val="Heading1"/>
      </w:pPr>
      <w:r>
        <w:t>Leitura por disciplina</w:t>
      </w:r>
    </w:p>
    <w:p>
      <w:pPr>
        <w:pStyle w:val="ListBullet"/>
      </w:pPr>
      <w:r>
        <w:t>**ARQ**: Arquitetura com IFC e pranchas PDF/DWG. A prancha de cortes/tabelas forneceu áreas, níveis e vagas. O IFC não traz IfcSpace útil para contagem automática de unidades.</w:t>
      </w:r>
    </w:p>
    <w:p>
      <w:pPr>
        <w:pStyle w:val="ListBullet"/>
      </w:pPr>
      <w:r>
        <w:t>**CLI**: Climatização com PDF/DWG. Entrou como climatização básica residencial/comercial.</w:t>
      </w:r>
    </w:p>
    <w:p>
      <w:pPr>
        <w:pStyle w:val="ListBullet"/>
      </w:pPr>
      <w:r>
        <w:t>**ELETRICA**: Elétrica com PDF/DWG/IFC. Usado para confirmar disciplina completa; gerador dedicado não identificado na leitura inicial.</w:t>
      </w:r>
    </w:p>
    <w:p>
      <w:pPr>
        <w:pStyle w:val="ListBullet"/>
      </w:pPr>
      <w:r>
        <w:t>**EST**: Estrutura com modelos RVT/IFC e pranchas. O IFC R06 possui pavimentos estruturais, lajes, vigas e pilares; usado para enquadrar laje convencional/maciça-mista.</w:t>
      </w:r>
    </w:p>
    <w:p>
      <w:pPr>
        <w:pStyle w:val="ListBullet"/>
      </w:pPr>
      <w:r>
        <w:t xml:space="preserve">**ETE**: </w:t>
      </w:r>
    </w:p>
    <w:p>
      <w:pPr>
        <w:pStyle w:val="ListBullet"/>
      </w:pPr>
      <w:r>
        <w:t>**FUND**: Fundações com PDF/DWG. Sem IFC quantitativo; fundação em hélice foi mantida como premissa V1 até validar memorial/sondagem.</w:t>
      </w:r>
    </w:p>
    <w:p>
      <w:pPr>
        <w:pStyle w:val="ListBullet"/>
      </w:pPr>
      <w:r>
        <w:t>**HID**: Hidrossanitário com PDF/DWG/IFC. Usado para confirmar complexidade de instalações e muitas áreas molhadas.</w:t>
      </w:r>
    </w:p>
    <w:p>
      <w:pPr>
        <w:pStyle w:val="ListBullet"/>
      </w:pPr>
      <w:r>
        <w:t>**INTERIORES**: Interiores com PDF/DWG/IFC. Reforça entrega completa e padrão médio-alto.</w:t>
      </w:r>
    </w:p>
    <w:p>
      <w:pPr>
        <w:pStyle w:val="ListBullet"/>
      </w:pPr>
      <w:r>
        <w:t>**PAISAGISMO**: Paisagismo com PDF/DWG. Entrou em complementares/urbanização.</w:t>
      </w:r>
    </w:p>
    <w:p>
      <w:pPr>
        <w:pStyle w:val="ListBullet"/>
      </w:pPr>
      <w:r>
        <w:t>**PCI**: Prevenção contra incêndio com PDF/DWG/IFC. Entrou em sistemas/instalações e premissa de pressurização = Não por baixa altura do conjunto.</w:t>
      </w:r>
    </w:p>
    <w:p>
      <w:pPr>
        <w:pStyle w:val="ListBullet"/>
      </w:pPr>
      <w:r>
        <w:t>**PISCINA**: Projeto específico de piscina presente; briefing V2 marcado como Piscina = Sim.</w:t>
      </w:r>
    </w:p>
    <w:p>
      <w:pPr>
        <w:pStyle w:val="ListBullet"/>
      </w:pPr>
      <w:r>
        <w:t>**SPDA**: SPDA com PDF/DWG/IFC. Entrou em sistemas especiais.</w:t>
      </w:r>
    </w:p>
    <w:p>
      <w:pPr>
        <w:pStyle w:val="ListBullet"/>
      </w:pPr>
      <w:r>
        <w:t>**TEL**: Telecom com PDF/DWG. Entrou em sistemas especiais/instalações.</w:t>
      </w:r>
    </w:p>
    <w:p>
      <w:pPr>
        <w:pStyle w:val="ListBullet"/>
      </w:pPr>
      <w:r>
        <w:t>**_Compactadas**: Backups ZIP das disciplinas. Mantidos no inventário, mas não usados como fonte primária quando havia arquivos abertos.</w:t>
      </w:r>
    </w:p>
    <w:p>
      <w:pPr>
        <w:pStyle w:val="Heading1"/>
      </w:pPr>
      <w:r>
        <w:t>Enquadramento adotado</w:t>
      </w:r>
    </w:p>
    <w:p>
      <w:pPr>
        <w:pStyle w:val="ListBullet"/>
      </w:pPr>
      <w:r>
        <w:t>Padrão: médio-alto.</w:t>
      </w:r>
    </w:p>
    <w:p>
      <w:pPr>
        <w:pStyle w:val="ListBullet"/>
      </w:pPr>
      <w:r>
        <w:t>Tipologia: 1-2 dormitórios/compactos.</w:t>
      </w:r>
    </w:p>
    <w:p>
      <w:pPr>
        <w:pStyle w:val="ListBullet"/>
      </w:pPr>
      <w:r>
        <w:t>Área construída: 15.000,62 m².</w:t>
      </w:r>
    </w:p>
    <w:p>
      <w:pPr>
        <w:pStyle w:val="ListBullet"/>
      </w:pPr>
      <w:r>
        <w:t>Área privativa: 8.343,90 m².</w:t>
      </w:r>
    </w:p>
    <w:p>
      <w:pPr>
        <w:pStyle w:val="ListBullet"/>
      </w:pPr>
      <w:r>
        <w:t>UR: 236, a validar.</w:t>
      </w:r>
    </w:p>
    <w:p>
      <w:pPr>
        <w:pStyle w:val="ListBullet"/>
      </w:pPr>
      <w:r>
        <w:t>Pavimentos principais: 6.</w:t>
      </w:r>
    </w:p>
    <w:p>
      <w:pPr>
        <w:pStyle w:val="ListBullet"/>
      </w:pPr>
      <w:r>
        <w:t>Prazo v01: 24 meses.</w:t>
      </w:r>
    </w:p>
    <w:p>
      <w:pPr>
        <w:pStyle w:val="ListBullet"/>
      </w:pPr>
      <w:r>
        <w:t>Custo direto recomendado para controle: R$ 55.202.281,60.</w:t>
      </w:r>
    </w:p>
    <w:p>
      <w:pPr>
        <w:pStyle w:val="Heading1"/>
      </w:pPr>
      <w:r>
        <w:t>Limitações da leitura automática</w:t>
      </w:r>
    </w:p>
    <w:p>
      <w:pPr>
        <w:pStyle w:val="ListBullet"/>
      </w:pPr>
      <w:r>
        <w:t>Não foi usado OCR externo; as principais tabelas foram lidas a partir dos renders já gerados da prancha arquitetônica.</w:t>
      </w:r>
    </w:p>
    <w:p>
      <w:pPr>
        <w:pStyle w:val="ListBullet"/>
      </w:pPr>
      <w:r>
        <w:t>O IFC de arquitetura não trouxe `IfcSpace`, então não permitiu contagem automática confiável de unidades.</w:t>
      </w:r>
    </w:p>
    <w:p>
      <w:pPr>
        <w:pStyle w:val="ListBullet"/>
      </w:pPr>
      <w:r>
        <w:t>DWG/PDF de disciplinas complementares foram inventariados e usados como presença/complexidade, mas a v01 ainda é paramétrica, não orçamento executivo por quantitativo.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