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Flow da Lagoa - Justificativa dos itens e premissas v01</w:t>
      </w:r>
    </w:p>
    <w:p>
      <w:r>
        <w:t>Este documento explica os itens que merecem maior atenção antes da validação do Leo e do cliente.</w:t>
      </w:r>
    </w:p>
    <w:p>
      <w:pPr>
        <w:pStyle w:val="Heading1"/>
      </w:pPr>
      <w:r>
        <w:t>Síntese de enquadramento</w:t>
      </w:r>
    </w:p>
    <w:p>
      <w:pPr>
        <w:pStyle w:val="ListBullet"/>
      </w:pPr>
      <w:r>
        <w:t>Área construída: 15.000,62 m².</w:t>
      </w:r>
    </w:p>
    <w:p>
      <w:pPr>
        <w:pStyle w:val="ListBullet"/>
      </w:pPr>
      <w:r>
        <w:t>Custo direto recomendado para controle v01: R$ 55.202.281,60.</w:t>
      </w:r>
    </w:p>
    <w:p>
      <w:pPr>
        <w:pStyle w:val="ListBullet"/>
      </w:pPr>
      <w:r>
        <w:t>R$/m² recomendado v01: R$ 3.680,00/m².</w:t>
      </w:r>
    </w:p>
    <w:p>
      <w:pPr>
        <w:pStyle w:val="ListBullet"/>
      </w:pPr>
      <w:r>
        <w:t>Faixa Supabase: médio-alto R$ 3.348,65/m²; alto R$ 4.155,75/m².</w:t>
      </w:r>
    </w:p>
    <w:p>
      <w:pPr>
        <w:pStyle w:val="ListBullet"/>
      </w:pPr>
      <w:r>
        <w:t>O recomendado fica acima da mediana médio-alto e abaixo do alto, por localização, padrão e complexidade, sem assumir luxo.</w:t>
      </w:r>
    </w:p>
    <w:p>
      <w:pPr>
        <w:pStyle w:val="Heading1"/>
      </w:pPr>
      <w:r>
        <w:t>Justificativas</w:t>
      </w:r>
    </w:p>
    <w:p>
      <w:r>
        <w:rPr>
          <w:rFonts w:ascii="Consolas" w:hAnsi="Consolas"/>
          <w:sz w:val="16"/>
        </w:rPr>
        <w:t>| Grupo/item | Evidência do projeto | Base de custo usada | Tratamento v01 |</w:t>
      </w:r>
    </w:p>
    <w:p>
      <w:r>
        <w:rPr>
          <w:rFonts w:ascii="Consolas" w:hAnsi="Consolas"/>
          <w:sz w:val="16"/>
        </w:rPr>
        <w:t>| --- | --- | --- | --- |</w:t>
      </w:r>
    </w:p>
    <w:p>
      <w:r>
        <w:rPr>
          <w:rFonts w:ascii="Consolas" w:hAnsi="Consolas"/>
          <w:sz w:val="16"/>
        </w:rPr>
        <w:t>| Supraestrutura | IFC estrutural R06 com 717 lajes, 1349 vigas e 1151 pilares; lajes maciças/mistas e=20 cm. | Supabase médio-alto mediana R$ 654,62/m²; alto R$ 718,24/m². Concreto 40 MPa mediana R$ 477,75/m³. | Mantido acima da mediana médio-alto quando o V2 reagir a área e briefing; sem protensão. |</w:t>
      </w:r>
    </w:p>
    <w:p>
      <w:r>
        <w:rPr>
          <w:rFonts w:ascii="Consolas" w:hAnsi="Consolas"/>
          <w:sz w:val="16"/>
        </w:rPr>
        <w:t>| Infraestrutura/fundações | Disciplina FUND completa em PDF/DWG, sem IFC quantitativo. | Supabase médio-alto mediana R$ 196,14/m²; alto R$ 230,40/m²; concreto de estacas mediana R$ 517,65/m³. | Fundação hélice como premissa; validar após memorial/sondagem. |</w:t>
      </w:r>
    </w:p>
    <w:p>
      <w:r>
        <w:rPr>
          <w:rFonts w:ascii="Consolas" w:hAnsi="Consolas"/>
          <w:sz w:val="16"/>
        </w:rPr>
        <w:t>| Esquadrias | Padrão médio-alto, Lagoa, arquitetura com grandes vãos e interiores completos. | Supabase: esquadrias G2 mediana R$ 939,74/m²; fornecimento+instalação mediana R$ 1.088,02/m². Ampli corroborou faixa ~R$ 958-1.250/m². | Não usar faixa econômica; manter referência médio-alta. |</w:t>
      </w:r>
    </w:p>
    <w:p>
      <w:r>
        <w:rPr>
          <w:rFonts w:ascii="Consolas" w:hAnsi="Consolas"/>
          <w:sz w:val="16"/>
        </w:rPr>
        <w:t>| Instalações | HID/ELE/PCI/SPDA/TEL/CLI presentes, produto compacto com muitas áreas molhadas. | Supabase médio-alto mediana R$ 332,12/m²; P75 R$ 411,27/m². | Tratar como médio-alto com atenção a P75 se o quadro de unidades confirmar 236+ unidades. |</w:t>
      </w:r>
    </w:p>
    <w:p>
      <w:r>
        <w:rPr>
          <w:rFonts w:ascii="Consolas" w:hAnsi="Consolas"/>
          <w:sz w:val="16"/>
        </w:rPr>
        <w:t>| Sistemas especiais/elevadores | 4 núcleos verticais e piscina. | Supabase elevadores mediana R$ 261.192/un; Ampli elevador avg R$ 289.254/un e elevador social com alta dispersão. | 4 elevadores no v01; validar quantidade e padrão. |</w:t>
      </w:r>
    </w:p>
    <w:p>
      <w:r>
        <w:rPr>
          <w:rFonts w:ascii="Consolas" w:hAnsi="Consolas"/>
          <w:sz w:val="16"/>
        </w:rPr>
        <w:t>| Impermeabilização | Piscina, cobertura, pilotis/áreas comuns e muitos banheiros. | Supabase total impermeabilização mediana R$ 61,39/m²; Ampli argamassa polimérica MO média R$ 27,31/m² e manta asfáltica MO R$ 48/m². | Não reduzir para P25; manter mediana/P75 conforme áreas molhadas. |</w:t>
      </w:r>
    </w:p>
    <w:p>
      <w:r>
        <w:rPr>
          <w:rFonts w:ascii="Consolas" w:hAnsi="Consolas"/>
          <w:sz w:val="16"/>
        </w:rPr>
        <w:t>| Pisos/revestimentos | Interiores completos e briefing com porcelanato. | Supabase pisos médio-alto mediana R$ 199,02/m²; Ampli porcelanato 60x60 ~R$ 80,49/m² e 80x80 ~R$ 129,22/m²; MO porcelanato mediana R$ 48/m². | Porcelanato como piso predominante. |</w:t>
      </w:r>
    </w:p>
    <w:p>
      <w:r>
        <w:rPr>
          <w:rFonts w:ascii="Consolas" w:hAnsi="Consolas"/>
          <w:sz w:val="16"/>
        </w:rPr>
        <w:t>| Gerenciamento/indiretos | 4 blocos, 15.000 m², obra horizontalizada em pilotis, prazo v01 24 meses. | Supabase médio-alto mediana R$ 474,74/m² e P75 R$ 1.223,46/m², com alta dispersão. | Planilha mantém gerenciamento no V2 e BDI em cenários separados. |</w:t>
      </w:r>
    </w:p>
    <w:p>
      <w:pPr>
        <w:pStyle w:val="Heading1"/>
      </w:pPr>
      <w:r>
        <w:t>BDI / bifes</w:t>
      </w:r>
    </w:p>
    <w:p>
      <w:pPr>
        <w:pStyle w:val="ListBullet"/>
      </w:pPr>
      <w:r>
        <w:t>A aba `BDI_PREMISSAS` inclui cenários 0%, 15%, 20% e 25%.</w:t>
      </w:r>
    </w:p>
    <w:p>
      <w:pPr>
        <w:pStyle w:val="ListBullet"/>
      </w:pPr>
      <w:r>
        <w:t>O valor-base da planilha é custo direto paramétrico. BDI final deve ser validado com escopo comercial, impostos, administração central, risco e margem.</w:t>
      </w:r>
    </w:p>
    <w:p>
      <w:pPr>
        <w:pStyle w:val="Heading1"/>
      </w:pPr>
      <w:r>
        <w:t>Pendências para v02</w:t>
      </w:r>
    </w:p>
    <w:p>
      <w:pPr>
        <w:pStyle w:val="ListBullet"/>
      </w:pPr>
      <w:r>
        <w:t>Confirmar quadro oficial de unidades.</w:t>
      </w:r>
    </w:p>
    <w:p>
      <w:pPr>
        <w:pStyle w:val="ListBullet"/>
      </w:pPr>
      <w:r>
        <w:t>Confirmar quantidade e padrão dos elevadores.</w:t>
      </w:r>
    </w:p>
    <w:p>
      <w:pPr>
        <w:pStyle w:val="ListBullet"/>
      </w:pPr>
      <w:r>
        <w:t>Confirmar tipo de fundação e contenções após memorial/sondagem.</w:t>
      </w:r>
    </w:p>
    <w:p>
      <w:pPr>
        <w:pStyle w:val="ListBullet"/>
      </w:pPr>
      <w:r>
        <w:t>Confirmar acabamento de fachada.</w:t>
      </w:r>
    </w:p>
    <w:p>
      <w:pPr>
        <w:pStyle w:val="ListBullet"/>
      </w:pPr>
      <w:r>
        <w:t>Validar se haverá gerador dedicado.</w:t>
      </w:r>
    </w:p>
    <w:p>
      <w:pPr>
        <w:pStyle w:val="ListBullet"/>
      </w:pPr>
      <w:r>
        <w:t>Recalibrar prazo e indiretos quando houver cronograma físico preliminar.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