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da Lagoa - Premissas de origem do orçamento paramétrico v01</w:t>
      </w:r>
    </w:p>
    <w:p>
      <w:r>
        <w:t>Gerado em 2026-06-09.</w:t>
      </w:r>
    </w:p>
    <w:p>
      <w:pPr>
        <w:pStyle w:val="Heading1"/>
      </w:pPr>
      <w:r>
        <w:t>Fonte principal</w:t>
      </w:r>
    </w:p>
    <w:p>
      <w:pPr>
        <w:pStyle w:val="ListBullet"/>
      </w:pPr>
      <w:r>
        <w:t>Pasta: `G:\Drives compartilhados\03 CTN Projetos\2. Projetos em Andamento\AMS Empreendimentos\04. Custo\04.1 Custo - Paramétrico\01 - Projetos`</w:t>
      </w:r>
    </w:p>
    <w:p>
      <w:pPr>
        <w:pStyle w:val="ListBullet"/>
      </w:pPr>
      <w:r>
        <w:t>Cliente/empreendimento identificado em prancha: AMS Empreendimentos Lagoa SPE Ltda.</w:t>
      </w:r>
    </w:p>
    <w:p>
      <w:pPr>
        <w:pStyle w:val="ListBullet"/>
      </w:pPr>
      <w:r>
        <w:t>Método: Paramétrico V2 Híbrido, com briefing do projeto, base de índices Supabase `indices-cartesian`, referências Ampli e CUB-SC residencial médio.</w:t>
      </w:r>
    </w:p>
    <w:p>
      <w:pPr>
        <w:pStyle w:val="ListBullet"/>
      </w:pPr>
      <w:r>
        <w:t>CUB usado: R$ 3.096,25/m², referência maio/2026 para uso em junho/2026.</w:t>
      </w:r>
    </w:p>
    <w:p>
      <w:pPr>
        <w:pStyle w:val="Heading1"/>
      </w:pPr>
      <w:r>
        <w:t>Dados de projeto usados</w:t>
      </w:r>
    </w:p>
    <w:p>
      <w:r>
        <w:rPr>
          <w:rFonts w:ascii="Consolas" w:hAnsi="Consolas"/>
          <w:sz w:val="16"/>
        </w:rPr>
        <w:t>| Campo | Valor | Fonte |</w:t>
      </w:r>
    </w:p>
    <w:p>
      <w:r>
        <w:rPr>
          <w:rFonts w:ascii="Consolas" w:hAnsi="Consolas"/>
          <w:sz w:val="16"/>
        </w:rPr>
        <w:t>| --- | --- | --- |</w:t>
      </w:r>
    </w:p>
    <w:p>
      <w:r>
        <w:rPr>
          <w:rFonts w:ascii="Consolas" w:hAnsi="Consolas"/>
          <w:sz w:val="16"/>
        </w:rPr>
        <w:t>| Área construída | 15.000,62 m² | ARQ AP 008 CORTE/TABELAS R12, quadro Área Total a Construir |</w:t>
      </w:r>
    </w:p>
    <w:p>
      <w:r>
        <w:rPr>
          <w:rFonts w:ascii="Consolas" w:hAnsi="Consolas"/>
          <w:sz w:val="16"/>
        </w:rPr>
        <w:t>| Área computável | 8.122,55 m² | ARQ AP 008 CORTE/TABELAS R12, quadro Área Total a Construir |</w:t>
      </w:r>
    </w:p>
    <w:p>
      <w:r>
        <w:rPr>
          <w:rFonts w:ascii="Consolas" w:hAnsi="Consolas"/>
          <w:sz w:val="16"/>
        </w:rPr>
        <w:t>| Área privativa | 8.343,90 m² | ARQ AP 008 CORTE/TABELAS R12, quadro Área Privativa |</w:t>
      </w:r>
    </w:p>
    <w:p>
      <w:r>
        <w:rPr>
          <w:rFonts w:ascii="Consolas" w:hAnsi="Consolas"/>
          <w:sz w:val="16"/>
        </w:rPr>
        <w:t>| Pavimentos principais | NA01 a NA06 | ARQ AP 008 CORTE/TABELAS R12 e cortes |</w:t>
      </w:r>
    </w:p>
    <w:p>
      <w:r>
        <w:rPr>
          <w:rFonts w:ascii="Consolas" w:hAnsi="Consolas"/>
          <w:sz w:val="16"/>
        </w:rPr>
        <w:t>| Níveis técnicos | NA07 Barrilete, NA08 Reservatório Superior, NA09 Tampa | ARQ AP 008 CORTE/TABELAS R12 |</w:t>
      </w:r>
    </w:p>
    <w:p>
      <w:r>
        <w:rPr>
          <w:rFonts w:ascii="Consolas" w:hAnsi="Consolas"/>
          <w:sz w:val="16"/>
        </w:rPr>
        <w:t>| Vagas automóveis | 161 | Quadro de vagas: 4 comerciais + 149 privativas + 8 visitantes |</w:t>
      </w:r>
    </w:p>
    <w:p>
      <w:r>
        <w:rPr>
          <w:rFonts w:ascii="Consolas" w:hAnsi="Consolas"/>
          <w:sz w:val="16"/>
        </w:rPr>
        <w:t>| Vagas bicicleta | 213 | Quadro de vagas: 5 comerciais + 198 privativas + 10 visitantes |</w:t>
      </w:r>
    </w:p>
    <w:p>
      <w:r>
        <w:rPr>
          <w:rFonts w:ascii="Consolas" w:hAnsi="Consolas"/>
          <w:sz w:val="16"/>
        </w:rPr>
        <w:t>| Núcleos verticais | 4 | Leitura visual das plantas e cortes; elevadores a validar |</w:t>
      </w:r>
    </w:p>
    <w:p>
      <w:r>
        <w:rPr>
          <w:rFonts w:ascii="Consolas" w:hAnsi="Consolas"/>
          <w:sz w:val="16"/>
        </w:rPr>
        <w:t>| Unidades residenciais | 236 | Premissa por área privativa média de 35,36 m²/UR; quadro de unidades não encontrado |</w:t>
      </w:r>
    </w:p>
    <w:p>
      <w:r>
        <w:rPr>
          <w:rFonts w:ascii="Consolas" w:hAnsi="Consolas"/>
          <w:sz w:val="16"/>
        </w:rPr>
        <w:t>| Estrutura | Lajes maciças/mistas e=20 cm | IFC estrutural R06: slabs, beams e columns; sem indício de protensão |</w:t>
      </w:r>
    </w:p>
    <w:p>
      <w:r>
        <w:rPr>
          <w:rFonts w:ascii="Consolas" w:hAnsi="Consolas"/>
          <w:sz w:val="16"/>
        </w:rPr>
        <w:t>| Piscina | Sim | Há disciplina PISCINA com DWG/PDF/IFC |</w:t>
      </w:r>
    </w:p>
    <w:p>
      <w:pPr>
        <w:pStyle w:val="Heading1"/>
      </w:pPr>
      <w:r>
        <w:t>Premissas críticas v01</w:t>
      </w:r>
    </w:p>
    <w:p>
      <w:pPr>
        <w:pStyle w:val="ListBullet"/>
      </w:pPr>
      <w:r>
        <w:t>UR = 236 é premissa de contagem por área privativa média: 35,36 m² privativos/UR. O quadro oficial de unidades não apareceu legível nos arquivos analisados.</w:t>
      </w:r>
    </w:p>
    <w:p>
      <w:pPr>
        <w:pStyle w:val="ListBullet"/>
      </w:pPr>
      <w:r>
        <w:t>Vagas para parâmetro de orçamento = 161 automóveis. As 213 vagas de bicicleta foram registradas separadamente para não inflar a fórmula de garagem.</w:t>
      </w:r>
    </w:p>
    <w:p>
      <w:pPr>
        <w:pStyle w:val="ListBullet"/>
      </w:pPr>
      <w:r>
        <w:t>Projeto com 4 blocos/núcleos verticais. O template V2 aceita até 3 torres no dropdown; por isso usei `Nº Torres = 3` e registrei o ajuste em notas.</w:t>
      </w:r>
    </w:p>
    <w:p>
      <w:pPr>
        <w:pStyle w:val="ListBullet"/>
      </w:pPr>
      <w:r>
        <w:t>Elevadores = 4 por leitura visual dos núcleos. Validar com projeto de transporte vertical.</w:t>
      </w:r>
    </w:p>
    <w:p>
      <w:pPr>
        <w:pStyle w:val="ListBullet"/>
      </w:pPr>
      <w:r>
        <w:t>Fundação = Hélice é premissa inicial. A disciplina FUND existe em PDF/DWG, mas não havia IFC quantitativo ou memorial consolidado para cravar o tipo sem revisão humana.</w:t>
      </w:r>
    </w:p>
    <w:p>
      <w:pPr>
        <w:pStyle w:val="ListBullet"/>
      </w:pPr>
      <w:r>
        <w:t>Fachada = Textura é premissa inicial. Ajustar para cerâmica/ACM/pele de vidro se o memorial arquitetônico confirmar outro acabamento.</w:t>
      </w:r>
    </w:p>
    <w:p>
      <w:pPr>
        <w:pStyle w:val="ListBullet"/>
      </w:pPr>
      <w:r>
        <w:t>BDI: tratado como cenário de validação em aba própria. O custo direto recomendado v01 é R$ 55.202.281,60, equivalente a R$ 3.680,00/m².</w:t>
      </w:r>
    </w:p>
    <w:p>
      <w:pPr>
        <w:pStyle w:val="Heading1"/>
      </w:pPr>
      <w:r>
        <w:t>Inventário por disciplina</w:t>
      </w:r>
    </w:p>
    <w:p>
      <w:r>
        <w:rPr>
          <w:rFonts w:ascii="Consolas" w:hAnsi="Consolas"/>
          <w:sz w:val="16"/>
        </w:rPr>
        <w:t>| Disciplina | Arquivos | MB | Extensões | Leitura v01 |</w:t>
      </w:r>
    </w:p>
    <w:p>
      <w:r>
        <w:rPr>
          <w:rFonts w:ascii="Consolas" w:hAnsi="Consolas"/>
          <w:sz w:val="16"/>
        </w:rPr>
        <w:t>| --- | --- | --- | --- | --- |</w:t>
      </w:r>
    </w:p>
    <w:p>
      <w:r>
        <w:rPr>
          <w:rFonts w:ascii="Consolas" w:hAnsi="Consolas"/>
          <w:sz w:val="16"/>
        </w:rPr>
        <w:t>| ARQ | 28 | 894.4 | .dwg:19, .ifc:1, .pdf:8 | Arquitetura com IFC e pranchas PDF/DWG. A prancha de cortes/tabelas forneceu áreas, níveis e vagas. O IFC não traz IfcSpace útil para contagem automática de unidades. |</w:t>
      </w:r>
    </w:p>
    <w:p>
      <w:r>
        <w:rPr>
          <w:rFonts w:ascii="Consolas" w:hAnsi="Consolas"/>
          <w:sz w:val="16"/>
        </w:rPr>
        <w:t>| CLI | 29 | 36.54 | .dwg:14, .pdf:15 | Climatização com PDF/DWG. Entrou como climatização básica residencial/comercial. |</w:t>
      </w:r>
    </w:p>
    <w:p>
      <w:r>
        <w:rPr>
          <w:rFonts w:ascii="Consolas" w:hAnsi="Consolas"/>
          <w:sz w:val="16"/>
        </w:rPr>
        <w:t>| ELETRICA | 22 | 279.09 | .dwg:10, .ifc:2, .pdf:10 | Elétrica com PDF/DWG/IFC. Usado para confirmar disciplina completa; gerador dedicado não identificado na leitura inicial. |</w:t>
      </w:r>
    </w:p>
    <w:p>
      <w:r>
        <w:rPr>
          <w:rFonts w:ascii="Consolas" w:hAnsi="Consolas"/>
          <w:sz w:val="16"/>
        </w:rPr>
        <w:t>| EST | 94 | 392.75 | .dwg:54, .ifc:6, .pdf:28, .rvt:6 | Estrutura com modelos RVT/IFC e pranchas. O IFC R06 possui pavimentos estruturais, lajes, vigas e pilares; usado para enquadrar laje convencional/maciça-mista. |</w:t>
      </w:r>
    </w:p>
    <w:p>
      <w:r>
        <w:rPr>
          <w:rFonts w:ascii="Consolas" w:hAnsi="Consolas"/>
          <w:sz w:val="16"/>
        </w:rPr>
        <w:t>| ETE | 5 | 15.73 | .pdf:5 |  |</w:t>
      </w:r>
    </w:p>
    <w:p>
      <w:r>
        <w:rPr>
          <w:rFonts w:ascii="Consolas" w:hAnsi="Consolas"/>
          <w:sz w:val="16"/>
        </w:rPr>
        <w:t>| FUND | 16 | 4.55 | .dwg:8, .pdf:8 | Fundações com PDF/DWG. Sem IFC quantitativo; fundação em hélice foi mantida como premissa V1 até validar memorial/sondagem. |</w:t>
      </w:r>
    </w:p>
    <w:p>
      <w:r>
        <w:rPr>
          <w:rFonts w:ascii="Consolas" w:hAnsi="Consolas"/>
          <w:sz w:val="16"/>
        </w:rPr>
        <w:t>| HID | 37 | 602.41 | .dwg:17, .ifc:2, .jpg:1, .pdf:17 | Hidrossanitário com PDF/DWG/IFC. Usado para confirmar complexidade de instalações e muitas áreas molhadas. |</w:t>
      </w:r>
    </w:p>
    <w:p>
      <w:r>
        <w:rPr>
          <w:rFonts w:ascii="Consolas" w:hAnsi="Consolas"/>
          <w:sz w:val="16"/>
        </w:rPr>
        <w:t>| INTERIORES | 74 | 918.71 | .dwg:42, .ifc:2, .pdf:30 | Interiores com PDF/DWG/IFC. Reforça entrega completa e padrão médio-alto. |</w:t>
      </w:r>
    </w:p>
    <w:p>
      <w:r>
        <w:rPr>
          <w:rFonts w:ascii="Consolas" w:hAnsi="Consolas"/>
          <w:sz w:val="16"/>
        </w:rPr>
        <w:t>| PAISAGISMO | 4 | 14.91 | .dwg:1, .pdf:3 | Paisagismo com PDF/DWG. Entrou em complementares/urbanização. |</w:t>
      </w:r>
    </w:p>
    <w:p>
      <w:r>
        <w:rPr>
          <w:rFonts w:ascii="Consolas" w:hAnsi="Consolas"/>
          <w:sz w:val="16"/>
        </w:rPr>
        <w:t>| PCI | 24 | 107.94 | .dwg:10, .ifc:2, .pdf:12 | Prevenção contra incêndio com PDF/DWG/IFC. Entrou em sistemas/instalações e premissa de pressurização = Não por baixa altura do conjunto. |</w:t>
      </w:r>
    </w:p>
    <w:p>
      <w:r>
        <w:rPr>
          <w:rFonts w:ascii="Consolas" w:hAnsi="Consolas"/>
          <w:sz w:val="16"/>
        </w:rPr>
        <w:t>| PISCINA | 5 | 25.57 | .dwg:2, .ifc:1, .pdf:2 | Projeto específico de piscina presente; briefing V2 marcado como Piscina = Sim. |</w:t>
      </w:r>
    </w:p>
    <w:p>
      <w:r>
        <w:rPr>
          <w:rFonts w:ascii="Consolas" w:hAnsi="Consolas"/>
          <w:sz w:val="16"/>
        </w:rPr>
        <w:t>| SPDA | 7 | 11.81 | .dwg:3, .ifc:1, .pdf:3 | SPDA com PDF/DWG/IFC. Entrou em sistemas especiais. |</w:t>
      </w:r>
    </w:p>
    <w:p>
      <w:r>
        <w:rPr>
          <w:rFonts w:ascii="Consolas" w:hAnsi="Consolas"/>
          <w:sz w:val="16"/>
        </w:rPr>
        <w:t>| TEL | 20 | 54.63 | .dwg:10, .pdf:10 | Telecom com PDF/DWG. Entrou em sistemas especiais/instalações. |</w:t>
      </w:r>
    </w:p>
    <w:p>
      <w:r>
        <w:rPr>
          <w:rFonts w:ascii="Consolas" w:hAnsi="Consolas"/>
          <w:sz w:val="16"/>
        </w:rPr>
        <w:t>| _Compactadas | 15 | 1167.79 | .zip:15 | Backups ZIP das disciplinas. Mantidos no inventário, mas não usados como fonte primária quando havia arquivos abertos. |</w:t>
      </w:r>
    </w:p>
    <w:p>
      <w:pPr>
        <w:pStyle w:val="Heading1"/>
      </w:pPr>
      <w:r>
        <w:t>Arquivos gerados</w:t>
      </w:r>
    </w:p>
    <w:p>
      <w:pPr>
        <w:pStyle w:val="ListBullet"/>
      </w:pPr>
      <w:r>
        <w:t>`parametrico-flow-da-lagoa-v01.xlsx`</w:t>
      </w:r>
    </w:p>
    <w:p>
      <w:pPr>
        <w:pStyle w:val="ListBullet"/>
      </w:pPr>
      <w:r>
        <w:t>`parametrico-flow-da-lagoa.xlsx`</w:t>
      </w:r>
    </w:p>
    <w:p>
      <w:pPr>
        <w:pStyle w:val="ListBullet"/>
      </w:pPr>
      <w:r>
        <w:t>`PREMISSAS-ORIGEM.md`</w:t>
      </w:r>
    </w:p>
    <w:p>
      <w:pPr>
        <w:pStyle w:val="ListBullet"/>
      </w:pPr>
      <w:r>
        <w:t>`JUSTIFICATIVA-ITENS-ACIMA-DA-MEDIA.md`</w:t>
      </w:r>
    </w:p>
    <w:p>
      <w:pPr>
        <w:pStyle w:val="ListBullet"/>
      </w:pPr>
      <w:r>
        <w:t>`ANALISE-PROJETOS-FLOW-DA-LAGOA.md`</w:t>
      </w:r>
    </w:p>
    <w:p>
      <w:pPr>
        <w:pStyle w:val="ListBullet"/>
      </w:pPr>
      <w:r>
        <w:t>`inventario-arquivos-flow-da-lagoa.csv`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