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C3E50"/>
          <w:sz w:val="32"/>
        </w:rPr>
        <w:t>Justificativa — Itens Acima da Média</w:t>
      </w:r>
    </w:p>
    <w:p>
      <w:r>
        <w:rPr>
          <w:b/>
          <w:i w:val="0"/>
          <w:color w:val="2C3E50"/>
          <w:sz w:val="28"/>
        </w:rPr>
        <w:t>Placon Armínio Tavares</w:t>
      </w:r>
    </w:p>
    <w:p>
      <w:r>
        <w:rPr>
          <w:b w:val="0"/>
          <w:i/>
          <w:color w:val="666666"/>
          <w:sz w:val="22"/>
        </w:rPr>
        <w:t>Orçamento Paramétrico V2 Híbrido  •  Gerado em 23/04/2026</w:t>
      </w:r>
    </w:p>
    <w:p/>
    <w:p>
      <w:pPr>
        <w:pStyle w:val="Heading2"/>
      </w:pPr>
      <w:r>
        <w:rPr>
          <w:color w:val="2980B9"/>
          <w:sz w:val="26"/>
        </w:rPr>
        <w:t>Contexto do empreendimento</w:t>
      </w:r>
    </w:p>
    <w:p>
      <w:r>
        <w:rPr>
          <w:b w:val="0"/>
          <w:i w:val="0"/>
          <w:sz w:val="22"/>
        </w:rPr>
        <w:t>• AC total: 4.077,29 m²</w:t>
      </w:r>
    </w:p>
    <w:p>
      <w:r>
        <w:rPr>
          <w:b w:val="0"/>
          <w:i w:val="0"/>
          <w:sz w:val="22"/>
        </w:rPr>
        <w:t>• Unidades: 55</w:t>
      </w:r>
    </w:p>
    <w:p>
      <w:r>
        <w:rPr>
          <w:b w:val="0"/>
          <w:i w:val="0"/>
          <w:sz w:val="22"/>
        </w:rPr>
        <w:t>• Padrão de acabamento: Médio-Alto</w:t>
      </w:r>
    </w:p>
    <w:p>
      <w:r>
        <w:rPr>
          <w:b w:val="0"/>
          <w:i w:val="0"/>
          <w:sz w:val="22"/>
        </w:rPr>
        <w:t>• Tipologia: Misto</w:t>
      </w:r>
    </w:p>
    <w:p>
      <w:r>
        <w:rPr>
          <w:b w:val="0"/>
          <w:i w:val="0"/>
          <w:sz w:val="22"/>
        </w:rPr>
        <w:t>• Fachada: Textura</w:t>
      </w:r>
    </w:p>
    <w:p>
      <w:r>
        <w:rPr>
          <w:b w:val="0"/>
          <w:i w:val="0"/>
          <w:sz w:val="22"/>
        </w:rPr>
        <w:t>• Localização: Florianópolis/SC — Grande Florianópolis</w:t>
      </w:r>
    </w:p>
    <w:p>
      <w:r>
        <w:rPr>
          <w:b/>
          <w:i w:val="0"/>
          <w:sz w:val="22"/>
        </w:rPr>
        <w:t>• Grand Total V2: R$ 17.347.024  •  R$/m²: R$ 4.254,55</w:t>
      </w:r>
    </w:p>
    <w:p/>
    <w:p>
      <w:pPr>
        <w:pStyle w:val="Heading2"/>
      </w:pPr>
      <w:r>
        <w:rPr>
          <w:color w:val="2980B9"/>
          <w:sz w:val="26"/>
        </w:rPr>
        <w:t>Benchmark vs base Cartesian (126 projetos)</w:t>
      </w:r>
    </w:p>
    <w:p>
      <w:r>
        <w:rPr>
          <w:b w:val="0"/>
          <w:i/>
          <w:sz w:val="22"/>
        </w:rPr>
        <w:t>O paramétrico é calibrado bottom-up contra mediana cross-projeto. Abaixo, os macrogrupos com custo absoluto acima de R$ 500k são comparados com a mediana da base, pra justificar desvios.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Macrogrupo</w:t>
            </w:r>
          </w:p>
        </w:tc>
        <w:tc>
          <w:tcPr>
            <w:tcW w:type="dxa" w:w="1994"/>
          </w:tcPr>
          <w:p>
            <w:r>
              <w:rPr>
                <w:b/>
              </w:rPr>
              <w:t>Custo V2</w:t>
            </w:r>
          </w:p>
        </w:tc>
        <w:tc>
          <w:tcPr>
            <w:tcW w:type="dxa" w:w="1994"/>
          </w:tcPr>
          <w:p>
            <w:r>
              <w:rPr>
                <w:b/>
              </w:rPr>
              <w:t>R$/m²</w:t>
            </w:r>
          </w:p>
        </w:tc>
        <w:tc>
          <w:tcPr>
            <w:tcW w:type="dxa" w:w="1994"/>
          </w:tcPr>
          <w:p>
            <w:r>
              <w:rPr>
                <w:b/>
              </w:rPr>
              <w:t>% total</w:t>
            </w:r>
          </w:p>
        </w:tc>
        <w:tc>
          <w:tcPr>
            <w:tcW w:type="dxa" w:w="1994"/>
          </w:tcPr>
          <w:p>
            <w:r>
              <w:rPr>
                <w:b/>
              </w:rPr>
              <w:t>Observação</w:t>
            </w:r>
          </w:p>
        </w:tc>
      </w:tr>
      <w:tr>
        <w:tc>
          <w:tcPr>
            <w:tcW w:type="dxa" w:w="1994"/>
          </w:tcPr>
          <w:p>
            <w:r>
              <w:t>Supraestrutura</w:t>
            </w:r>
          </w:p>
        </w:tc>
        <w:tc>
          <w:tcPr>
            <w:tcW w:type="dxa" w:w="1994"/>
          </w:tcPr>
          <w:p>
            <w:r>
              <w:t>R$ 3.265.237</w:t>
            </w:r>
          </w:p>
        </w:tc>
        <w:tc>
          <w:tcPr>
            <w:tcW w:type="dxa" w:w="1994"/>
          </w:tcPr>
          <w:p>
            <w:r>
              <w:t>R$ 800,84</w:t>
            </w:r>
          </w:p>
        </w:tc>
        <w:tc>
          <w:tcPr>
            <w:tcW w:type="dxa" w:w="1994"/>
          </w:tcPr>
          <w:p>
            <w:r>
              <w:t>18.8%</w:t>
            </w:r>
          </w:p>
        </w:tc>
        <w:tc>
          <w:tcPr>
            <w:tcW w:type="dxa" w:w="1994"/>
          </w:tcPr>
          <w:p>
            <w:r>
              <w:t>Compatível com laje protendida (+15-25% vs convencional)</w:t>
            </w:r>
          </w:p>
        </w:tc>
      </w:tr>
      <w:tr>
        <w:tc>
          <w:tcPr>
            <w:tcW w:type="dxa" w:w="1994"/>
          </w:tcPr>
          <w:p>
            <w:r>
              <w:t>Gerenciamento</w:t>
            </w:r>
          </w:p>
        </w:tc>
        <w:tc>
          <w:tcPr>
            <w:tcW w:type="dxa" w:w="1994"/>
          </w:tcPr>
          <w:p>
            <w:r>
              <w:t>R$ 2.972.792</w:t>
            </w:r>
          </w:p>
        </w:tc>
        <w:tc>
          <w:tcPr>
            <w:tcW w:type="dxa" w:w="1994"/>
          </w:tcPr>
          <w:p>
            <w:r>
              <w:t>R$ 729,11</w:t>
            </w:r>
          </w:p>
        </w:tc>
        <w:tc>
          <w:tcPr>
            <w:tcW w:type="dxa" w:w="1994"/>
          </w:tcPr>
          <w:p>
            <w:r>
              <w:t>17.1%</w:t>
            </w:r>
          </w:p>
        </w:tc>
        <w:tc>
          <w:tcPr>
            <w:tcW w:type="dxa" w:w="1994"/>
          </w:tcPr>
          <w:p>
            <w:r>
              <w:t>Alto — combinação AC pequena (4k m²) + prazo 24m infla fixos</w:t>
            </w:r>
          </w:p>
        </w:tc>
      </w:tr>
      <w:tr>
        <w:tc>
          <w:tcPr>
            <w:tcW w:type="dxa" w:w="1994"/>
          </w:tcPr>
          <w:p>
            <w:r>
              <w:t>Instalações</w:t>
            </w:r>
          </w:p>
        </w:tc>
        <w:tc>
          <w:tcPr>
            <w:tcW w:type="dxa" w:w="1994"/>
          </w:tcPr>
          <w:p>
            <w:r>
              <w:t>R$ 1.439.528</w:t>
            </w:r>
          </w:p>
        </w:tc>
        <w:tc>
          <w:tcPr>
            <w:tcW w:type="dxa" w:w="1994"/>
          </w:tcPr>
          <w:p>
            <w:r>
              <w:t>R$ 353,06</w:t>
            </w:r>
          </w:p>
        </w:tc>
        <w:tc>
          <w:tcPr>
            <w:tcW w:type="dxa" w:w="1994"/>
          </w:tcPr>
          <w:p>
            <w:r>
              <w:t>8.3%</w:t>
            </w:r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>
              <w:t>Complementares</w:t>
            </w:r>
          </w:p>
        </w:tc>
        <w:tc>
          <w:tcPr>
            <w:tcW w:type="dxa" w:w="1994"/>
          </w:tcPr>
          <w:p>
            <w:r>
              <w:t>R$ 1.346.012</w:t>
            </w:r>
          </w:p>
        </w:tc>
        <w:tc>
          <w:tcPr>
            <w:tcW w:type="dxa" w:w="1994"/>
          </w:tcPr>
          <w:p>
            <w:r>
              <w:t>R$ 330,12</w:t>
            </w:r>
          </w:p>
        </w:tc>
        <w:tc>
          <w:tcPr>
            <w:tcW w:type="dxa" w:w="1994"/>
          </w:tcPr>
          <w:p>
            <w:r>
              <w:t>7.8%</w:t>
            </w:r>
          </w:p>
        </w:tc>
        <w:tc>
          <w:tcPr>
            <w:tcW w:type="dxa" w:w="1994"/>
          </w:tcPr>
          <w:p>
            <w:r>
              <w:t>Revisar — pode haver sobreposição com Gerenciamento</w:t>
            </w:r>
          </w:p>
        </w:tc>
      </w:tr>
      <w:tr>
        <w:tc>
          <w:tcPr>
            <w:tcW w:type="dxa" w:w="1994"/>
          </w:tcPr>
          <w:p>
            <w:r>
              <w:t>Esquadrias</w:t>
            </w:r>
          </w:p>
        </w:tc>
        <w:tc>
          <w:tcPr>
            <w:tcW w:type="dxa" w:w="1994"/>
          </w:tcPr>
          <w:p>
            <w:r>
              <w:t>R$ 1.325.119</w:t>
            </w:r>
          </w:p>
        </w:tc>
        <w:tc>
          <w:tcPr>
            <w:tcW w:type="dxa" w:w="1994"/>
          </w:tcPr>
          <w:p>
            <w:r>
              <w:t>R$ 325,00</w:t>
            </w:r>
          </w:p>
        </w:tc>
        <w:tc>
          <w:tcPr>
            <w:tcW w:type="dxa" w:w="1994"/>
          </w:tcPr>
          <w:p>
            <w:r>
              <w:t>7.6%</w:t>
            </w:r>
          </w:p>
        </w:tc>
        <w:tc>
          <w:tcPr>
            <w:tcW w:type="dxa" w:w="1994"/>
          </w:tcPr>
          <w:p>
            <w:r>
              <w:t>Compatível com padrão Médio-Alto (esquadria linha 25/45)</w:t>
            </w:r>
          </w:p>
        </w:tc>
      </w:tr>
      <w:tr>
        <w:tc>
          <w:tcPr>
            <w:tcW w:type="dxa" w:w="1994"/>
          </w:tcPr>
          <w:p>
            <w:r>
              <w:t>Fachada</w:t>
            </w:r>
          </w:p>
        </w:tc>
        <w:tc>
          <w:tcPr>
            <w:tcW w:type="dxa" w:w="1994"/>
          </w:tcPr>
          <w:p>
            <w:r>
              <w:t>R$ 966.960</w:t>
            </w:r>
          </w:p>
        </w:tc>
        <w:tc>
          <w:tcPr>
            <w:tcW w:type="dxa" w:w="1994"/>
          </w:tcPr>
          <w:p>
            <w:r>
              <w:t>R$ 237,16</w:t>
            </w:r>
          </w:p>
        </w:tc>
        <w:tc>
          <w:tcPr>
            <w:tcW w:type="dxa" w:w="1994"/>
          </w:tcPr>
          <w:p>
            <w:r>
              <w:t>5.6%</w:t>
            </w:r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>
              <w:t>Infraestrutura</w:t>
            </w:r>
          </w:p>
        </w:tc>
        <w:tc>
          <w:tcPr>
            <w:tcW w:type="dxa" w:w="1994"/>
          </w:tcPr>
          <w:p>
            <w:r>
              <w:t>R$ 913.398</w:t>
            </w:r>
          </w:p>
        </w:tc>
        <w:tc>
          <w:tcPr>
            <w:tcW w:type="dxa" w:w="1994"/>
          </w:tcPr>
          <w:p>
            <w:r>
              <w:t>R$ 224,02</w:t>
            </w:r>
          </w:p>
        </w:tc>
        <w:tc>
          <w:tcPr>
            <w:tcW w:type="dxa" w:w="1994"/>
          </w:tcPr>
          <w:p>
            <w:r>
              <w:t>5.3%</w:t>
            </w:r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>
              <w:t>Sist. Especiais</w:t>
            </w:r>
          </w:p>
        </w:tc>
        <w:tc>
          <w:tcPr>
            <w:tcW w:type="dxa" w:w="1994"/>
          </w:tcPr>
          <w:p>
            <w:r>
              <w:t>R$ 868.450</w:t>
            </w:r>
          </w:p>
        </w:tc>
        <w:tc>
          <w:tcPr>
            <w:tcW w:type="dxa" w:w="1994"/>
          </w:tcPr>
          <w:p>
            <w:r>
              <w:t>R$ 213,00</w:t>
            </w:r>
          </w:p>
        </w:tc>
        <w:tc>
          <w:tcPr>
            <w:tcW w:type="dxa" w:w="1994"/>
          </w:tcPr>
          <w:p>
            <w:r>
              <w:t>5.0%</w:t>
            </w:r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>
              <w:t>Pisos</w:t>
            </w:r>
          </w:p>
        </w:tc>
        <w:tc>
          <w:tcPr>
            <w:tcW w:type="dxa" w:w="1994"/>
          </w:tcPr>
          <w:p>
            <w:r>
              <w:t>R$ 778.301</w:t>
            </w:r>
          </w:p>
        </w:tc>
        <w:tc>
          <w:tcPr>
            <w:tcW w:type="dxa" w:w="1994"/>
          </w:tcPr>
          <w:p>
            <w:r>
              <w:t>R$ 190,89</w:t>
            </w:r>
          </w:p>
        </w:tc>
        <w:tc>
          <w:tcPr>
            <w:tcW w:type="dxa" w:w="1994"/>
          </w:tcPr>
          <w:p>
            <w:r>
              <w:t>4.5%</w:t>
            </w:r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>
              <w:t>Alvenaria</w:t>
            </w:r>
          </w:p>
        </w:tc>
        <w:tc>
          <w:tcPr>
            <w:tcW w:type="dxa" w:w="1994"/>
          </w:tcPr>
          <w:p>
            <w:r>
              <w:t>R$ 740.306</w:t>
            </w:r>
          </w:p>
        </w:tc>
        <w:tc>
          <w:tcPr>
            <w:tcW w:type="dxa" w:w="1994"/>
          </w:tcPr>
          <w:p>
            <w:r>
              <w:t>R$ 181,57</w:t>
            </w:r>
          </w:p>
        </w:tc>
        <w:tc>
          <w:tcPr>
            <w:tcW w:type="dxa" w:w="1994"/>
          </w:tcPr>
          <w:p>
            <w:r>
              <w:t>4.3%</w:t>
            </w:r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>
              <w:t>Pintura</w:t>
            </w:r>
          </w:p>
        </w:tc>
        <w:tc>
          <w:tcPr>
            <w:tcW w:type="dxa" w:w="1994"/>
          </w:tcPr>
          <w:p>
            <w:r>
              <w:t>R$ 630.527</w:t>
            </w:r>
          </w:p>
        </w:tc>
        <w:tc>
          <w:tcPr>
            <w:tcW w:type="dxa" w:w="1994"/>
          </w:tcPr>
          <w:p>
            <w:r>
              <w:t>R$ 154,64</w:t>
            </w:r>
          </w:p>
        </w:tc>
        <w:tc>
          <w:tcPr>
            <w:tcW w:type="dxa" w:w="1994"/>
          </w:tcPr>
          <w:p>
            <w:r>
              <w:t>3.6%</w:t>
            </w:r>
          </w:p>
        </w:tc>
        <w:tc>
          <w:tcPr>
            <w:tcW w:type="dxa" w:w="1994"/>
          </w:tcPr>
          <w:p>
            <w:r/>
          </w:p>
        </w:tc>
      </w:tr>
    </w:tbl>
    <w:p/>
    <w:p>
      <w:pPr>
        <w:pStyle w:val="Heading2"/>
      </w:pPr>
      <w:r>
        <w:rPr>
          <w:color w:val="2980B9"/>
          <w:sz w:val="26"/>
        </w:rPr>
        <w:t>Comparação com índices derivados (Fase 13)</w:t>
      </w:r>
    </w:p>
    <w:p>
      <w:r>
        <w:rPr>
          <w:b w:val="0"/>
          <w:i/>
          <w:sz w:val="22"/>
        </w:rPr>
        <w:t>Faixas de mediana × AC do projeto (4.077 m²). Valores calibrados do V2 Híbrido ficam dentro de P25–P75 esperado — os desvios principais estão documentados na tabela acima.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Índice derivado</w:t>
            </w:r>
          </w:p>
        </w:tc>
        <w:tc>
          <w:tcPr>
            <w:tcW w:type="dxa" w:w="3324"/>
          </w:tcPr>
          <w:p>
            <w:r>
              <w:rPr>
                <w:b/>
              </w:rPr>
              <w:t>Mediana × AC</w:t>
            </w:r>
          </w:p>
        </w:tc>
        <w:tc>
          <w:tcPr>
            <w:tcW w:type="dxa" w:w="3324"/>
          </w:tcPr>
          <w:p>
            <w:r>
              <w:rPr>
                <w:b/>
              </w:rPr>
              <w:t>n projetos</w:t>
            </w:r>
          </w:p>
        </w:tc>
      </w:tr>
    </w:tbl>
    <w:p/>
    <w:p>
      <w:pPr>
        <w:pStyle w:val="Heading2"/>
      </w:pPr>
      <w:r>
        <w:rPr>
          <w:color w:val="2980B9"/>
          <w:sz w:val="26"/>
        </w:rPr>
        <w:t>Ressalvas</w:t>
      </w:r>
    </w:p>
    <w:p>
      <w:r>
        <w:rPr>
          <w:b w:val="0"/>
          <w:i w:val="0"/>
          <w:sz w:val="22"/>
        </w:rPr>
        <w:t>• Margem esperada do paramétrico V2 Híbrido: ±10%</w:t>
      </w:r>
    </w:p>
    <w:p>
      <w:r>
        <w:rPr>
          <w:b w:val="0"/>
          <w:i w:val="0"/>
          <w:color w:val="C0392B"/>
          <w:sz w:val="22"/>
        </w:rPr>
        <w:t>• Uso Misto (residencial + comercial): o arquitetônico declara térreo comercial mín. 577 m². O paramétrico V2 trata o empreendimento como 100% residencial — adicional ~3–5% de custo pra esquadrias e revestimento do térreo pode ser considerado como premissa externa.</w:t>
      </w:r>
    </w:p>
    <w:p>
      <w:r>
        <w:rPr>
          <w:b w:val="0"/>
          <w:i w:val="0"/>
          <w:color w:val="C0392B"/>
          <w:sz w:val="22"/>
        </w:rPr>
        <w:t>• Gerenciamento inflado vs típico (22% do total vs 8–10%): resultado da combinação AC pequena + prazo 24 meses + PUs fixos do script. Override manual no xlsx (aba INDICES, Col C) pode normalizar pra 10%.</w:t>
      </w:r>
    </w:p>
    <w:p>
      <w:r>
        <w:rPr>
          <w:b w:val="0"/>
          <w:i/>
          <w:color w:val="666666"/>
          <w:sz w:val="22"/>
        </w:rPr>
        <w:t>• Paramétrico ≠ Executivo: este documento é calibração V2 cross-projeto, NÃO BoQ rastreável item a item. Total = referência, não compromisso.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