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  <w:sz w:val="32"/>
        </w:rPr>
        <w:t>Memorial / Premissas de Origem</w:t>
      </w:r>
    </w:p>
    <w:p>
      <w:r>
        <w:rPr>
          <w:b/>
          <w:i w:val="0"/>
          <w:color w:val="2C3E50"/>
          <w:sz w:val="28"/>
        </w:rPr>
        <w:t>Placon Armínio Tavares</w:t>
      </w:r>
    </w:p>
    <w:p>
      <w:r>
        <w:rPr>
          <w:b w:val="0"/>
          <w:i/>
          <w:color w:val="666666"/>
          <w:sz w:val="22"/>
        </w:rPr>
        <w:t>Orçamento Paramétrico V2 Híbrido  •  Gerado em 23/04/2026</w:t>
      </w:r>
    </w:p>
    <w:p/>
    <w:p>
      <w:pPr>
        <w:pStyle w:val="Heading2"/>
      </w:pPr>
      <w:r>
        <w:rPr>
          <w:color w:val="2980B9"/>
          <w:sz w:val="26"/>
        </w:rPr>
        <w:t>1. Identificação do empreendimento</w:t>
      </w:r>
    </w:p>
    <w:p>
      <w:r>
        <w:rPr>
          <w:b w:val="0"/>
          <w:i w:val="0"/>
          <w:sz w:val="22"/>
        </w:rPr>
        <w:t>• Cliente: Placon Empreendimentos Imobiliários Ltda. (CNPJ 10.226.625/0001-20)</w:t>
      </w:r>
    </w:p>
    <w:p>
      <w:r>
        <w:rPr>
          <w:b w:val="0"/>
          <w:i w:val="0"/>
          <w:sz w:val="22"/>
        </w:rPr>
        <w:t>• Empreendimento: Residencial Placon Armínio Tavares</w:t>
      </w:r>
    </w:p>
    <w:p>
      <w:r>
        <w:rPr>
          <w:b w:val="0"/>
          <w:i w:val="0"/>
          <w:sz w:val="22"/>
        </w:rPr>
        <w:t>• Endereço: Rua Dr. Armínio Tavares, Centro</w:t>
      </w:r>
    </w:p>
    <w:p>
      <w:r>
        <w:rPr>
          <w:b w:val="0"/>
          <w:i w:val="0"/>
          <w:sz w:val="22"/>
        </w:rPr>
        <w:t>• Município: Florianópolis/SC</w:t>
      </w:r>
    </w:p>
    <w:p>
      <w:r>
        <w:rPr>
          <w:b w:val="0"/>
          <w:i w:val="0"/>
          <w:sz w:val="22"/>
        </w:rPr>
        <w:t>• Zoneamento: ARM-4.5/ARP-2.4</w:t>
      </w:r>
    </w:p>
    <w:p>
      <w:r>
        <w:rPr>
          <w:b w:val="0"/>
          <w:i w:val="0"/>
          <w:sz w:val="22"/>
        </w:rPr>
        <w:t>• Uso declarado: Misto (residencial + comercial — térreo comercial mín 577 m²)</w:t>
      </w:r>
    </w:p>
    <w:p>
      <w:r>
        <w:rPr>
          <w:b w:val="0"/>
          <w:i w:val="0"/>
          <w:sz w:val="22"/>
        </w:rPr>
        <w:t>• Área do terreno: 900.0 m² (remanescente 873.27 m²)</w:t>
      </w:r>
    </w:p>
    <w:p/>
    <w:p>
      <w:pPr>
        <w:pStyle w:val="Heading2"/>
      </w:pPr>
      <w:r>
        <w:rPr>
          <w:color w:val="2980B9"/>
          <w:sz w:val="26"/>
        </w:rPr>
        <w:t>2. Dados físicos (PL_R05 + PCI 26/02/26)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3324"/>
          </w:tcPr>
          <w:p>
            <w:r>
              <w:t>AC total construída</w:t>
            </w:r>
          </w:p>
        </w:tc>
        <w:tc>
          <w:tcPr>
            <w:tcW w:type="dxa" w:w="3324"/>
          </w:tcPr>
          <w:p>
            <w:r>
              <w:t>4,077.29 m²</w:t>
            </w:r>
          </w:p>
        </w:tc>
        <w:tc>
          <w:tcPr>
            <w:tcW w:type="dxa" w:w="3324"/>
          </w:tcPr>
          <w:p>
            <w:r>
              <w:t>PL_R05 arquitetônico</w:t>
            </w:r>
          </w:p>
        </w:tc>
      </w:tr>
      <w:tr>
        <w:tc>
          <w:tcPr>
            <w:tcW w:type="dxa" w:w="3324"/>
          </w:tcPr>
          <w:p>
            <w:r>
              <w:t>Área privativa</w:t>
            </w:r>
          </w:p>
        </w:tc>
        <w:tc>
          <w:tcPr>
            <w:tcW w:type="dxa" w:w="3324"/>
          </w:tcPr>
          <w:p>
            <w:r>
              <w:t>2,083.94 m² (51,11%)</w:t>
            </w:r>
          </w:p>
        </w:tc>
        <w:tc>
          <w:tcPr>
            <w:tcW w:type="dxa" w:w="3324"/>
          </w:tcPr>
          <w:p>
            <w:r>
              <w:t>PL_R05</w:t>
            </w:r>
          </w:p>
        </w:tc>
      </w:tr>
      <w:tr>
        <w:tc>
          <w:tcPr>
            <w:tcW w:type="dxa" w:w="3324"/>
          </w:tcPr>
          <w:p>
            <w:r>
              <w:t>Área comum</w:t>
            </w:r>
          </w:p>
        </w:tc>
        <w:tc>
          <w:tcPr>
            <w:tcW w:type="dxa" w:w="3324"/>
          </w:tcPr>
          <w:p>
            <w:r>
              <w:t>1,993.35 m² (48,89%)</w:t>
            </w:r>
          </w:p>
        </w:tc>
        <w:tc>
          <w:tcPr>
            <w:tcW w:type="dxa" w:w="3324"/>
          </w:tcPr>
          <w:p>
            <w:r>
              <w:t>PL_R05</w:t>
            </w:r>
          </w:p>
        </w:tc>
      </w:tr>
      <w:tr>
        <w:tc>
          <w:tcPr>
            <w:tcW w:type="dxa" w:w="3324"/>
          </w:tcPr>
          <w:p>
            <w:r>
              <w:t>UR (unidades)</w:t>
            </w:r>
          </w:p>
        </w:tc>
        <w:tc>
          <w:tcPr>
            <w:tcW w:type="dxa" w:w="3324"/>
          </w:tcPr>
          <w:p>
            <w:r>
              <w:t>55</w:t>
            </w:r>
          </w:p>
        </w:tc>
        <w:tc>
          <w:tcPr>
            <w:tcW w:type="dxa" w:w="3324"/>
          </w:tcPr>
          <w:p>
            <w:r>
              <w:t>PL_R05 + PCI</w:t>
            </w:r>
          </w:p>
        </w:tc>
      </w:tr>
      <w:tr>
        <w:tc>
          <w:tcPr>
            <w:tcW w:type="dxa" w:w="3324"/>
          </w:tcPr>
          <w:p>
            <w:r>
              <w:t>Área privativa média / UR</w:t>
            </w:r>
          </w:p>
        </w:tc>
        <w:tc>
          <w:tcPr>
            <w:tcW w:type="dxa" w:w="3324"/>
          </w:tcPr>
          <w:p>
            <w:r>
              <w:t>37.89 m²</w:t>
            </w:r>
          </w:p>
        </w:tc>
        <w:tc>
          <w:tcPr>
            <w:tcW w:type="dxa" w:w="3324"/>
          </w:tcPr>
          <w:p>
            <w:r>
              <w:t>Calculado</w:t>
            </w:r>
          </w:p>
        </w:tc>
      </w:tr>
      <w:tr>
        <w:tc>
          <w:tcPr>
            <w:tcW w:type="dxa" w:w="3324"/>
          </w:tcPr>
          <w:p>
            <w:r>
              <w:t>Pavimentos (torre)</w:t>
            </w:r>
          </w:p>
        </w:tc>
        <w:tc>
          <w:tcPr>
            <w:tcW w:type="dxa" w:w="3324"/>
          </w:tcPr>
          <w:p>
            <w:r>
              <w:t>18 (barrilete + reservatório)</w:t>
            </w:r>
          </w:p>
        </w:tc>
        <w:tc>
          <w:tcPr>
            <w:tcW w:type="dxa" w:w="3324"/>
          </w:tcPr>
          <w:p>
            <w:r>
              <w:t>PL_R05</w:t>
            </w:r>
          </w:p>
        </w:tc>
      </w:tr>
      <w:tr>
        <w:tc>
          <w:tcPr>
            <w:tcW w:type="dxa" w:w="3324"/>
          </w:tcPr>
          <w:p>
            <w:r>
              <w:t>Pavimentos tipo</w:t>
            </w:r>
          </w:p>
        </w:tc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PL_R05</w:t>
            </w:r>
          </w:p>
        </w:tc>
      </w:tr>
      <w:tr>
        <w:tc>
          <w:tcPr>
            <w:tcW w:type="dxa" w:w="3324"/>
          </w:tcPr>
          <w:p>
            <w:r>
              <w:t>Pavimentos habitáveis (PCI)</w:t>
            </w:r>
          </w:p>
        </w:tc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PCI 26/02/26</w:t>
            </w:r>
          </w:p>
        </w:tc>
      </w:tr>
      <w:tr>
        <w:tc>
          <w:tcPr>
            <w:tcW w:type="dxa" w:w="3324"/>
          </w:tcPr>
          <w:p>
            <w:r>
              <w:t>Altura rota de fuga</w:t>
            </w:r>
          </w:p>
        </w:tc>
        <w:tc>
          <w:tcPr>
            <w:tcW w:type="dxa" w:w="3324"/>
          </w:tcPr>
          <w:p>
            <w:r>
              <w:t>40.68 m</w:t>
            </w:r>
          </w:p>
        </w:tc>
        <w:tc>
          <w:tcPr>
            <w:tcW w:type="dxa" w:w="3324"/>
          </w:tcPr>
          <w:p>
            <w:r>
              <w:t>PCI</w:t>
            </w:r>
          </w:p>
        </w:tc>
      </w:tr>
      <w:tr>
        <w:tc>
          <w:tcPr>
            <w:tcW w:type="dxa" w:w="3324"/>
          </w:tcPr>
          <w:p>
            <w:r>
              <w:t>Elevadores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Projeto elétrico</w:t>
            </w:r>
          </w:p>
        </w:tc>
      </w:tr>
      <w:tr>
        <w:tc>
          <w:tcPr>
            <w:tcW w:type="dxa" w:w="3324"/>
          </w:tcPr>
          <w:p>
            <w:r>
              <w:t>Vagas</w:t>
            </w:r>
          </w:p>
        </w:tc>
        <w:tc>
          <w:tcPr>
            <w:tcW w:type="dxa" w:w="3324"/>
          </w:tcPr>
          <w:p>
            <w:r>
              <w:t>59 (55 priv + 4 PCD/visit)</w:t>
            </w:r>
          </w:p>
        </w:tc>
        <w:tc>
          <w:tcPr>
            <w:tcW w:type="dxa" w:w="3324"/>
          </w:tcPr>
          <w:p>
            <w:r>
              <w:t>PL_R05</w:t>
            </w:r>
          </w:p>
        </w:tc>
      </w:tr>
      <w:tr>
        <w:tc>
          <w:tcPr>
            <w:tcW w:type="dxa" w:w="3324"/>
          </w:tcPr>
          <w:p>
            <w:r>
              <w:t>Prazo estimado</w:t>
            </w:r>
          </w:p>
        </w:tc>
        <w:tc>
          <w:tcPr>
            <w:tcW w:type="dxa" w:w="3324"/>
          </w:tcPr>
          <w:p>
            <w:r>
              <w:t>24 meses</w:t>
            </w:r>
          </w:p>
        </w:tc>
        <w:tc>
          <w:tcPr>
            <w:tcW w:type="dxa" w:w="3324"/>
          </w:tcPr>
          <w:p>
            <w:r>
              <w:t>Premissa do projeto</w:t>
            </w:r>
          </w:p>
        </w:tc>
      </w:tr>
      <w:tr>
        <w:tc>
          <w:tcPr>
            <w:tcW w:type="dxa" w:w="3324"/>
          </w:tcPr>
          <w:p>
            <w:r>
              <w:t>CUB adotado</w:t>
            </w:r>
          </w:p>
        </w:tc>
        <w:tc>
          <w:tcPr>
            <w:tcW w:type="dxa" w:w="3324"/>
          </w:tcPr>
          <w:p>
            <w:r>
              <w:t>R$ 3.028,45/m²</w:t>
            </w:r>
          </w:p>
        </w:tc>
        <w:tc>
          <w:tcPr>
            <w:tcW w:type="dxa" w:w="3324"/>
          </w:tcPr>
          <w:p>
            <w:r>
              <w:t>Sinduscon-SC abr/2026</w:t>
            </w:r>
          </w:p>
        </w:tc>
      </w:tr>
    </w:tbl>
    <w:p/>
    <w:p>
      <w:pPr>
        <w:pStyle w:val="Heading2"/>
      </w:pPr>
      <w:r>
        <w:rPr>
          <w:color w:val="2980B9"/>
          <w:sz w:val="26"/>
        </w:rPr>
        <w:t>3. Briefing V2 — 14 decisões-chave</w:t>
      </w:r>
    </w:p>
    <w:p>
      <w:r>
        <w:rPr>
          <w:b w:val="0"/>
          <w:i/>
          <w:color w:val="666666"/>
          <w:sz w:val="22"/>
        </w:rPr>
        <w:t>Cada decisão abaixo vira um dropdown na aba BRIEFING do xlsx. Alterar o dropdown recalcula automaticamente a aba INDICES e todas as 18 abas de macrogrupo. A Col C de INDICES permite override manual durante reunião.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Resposta V2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3324"/>
          </w:tcPr>
          <w:p>
            <w:r>
              <w:t>Tipo de laje</w:t>
            </w:r>
          </w:p>
        </w:tc>
        <w:tc>
          <w:tcPr>
            <w:tcW w:type="dxa" w:w="3324"/>
          </w:tcPr>
          <w:p>
            <w:r>
              <w:t>Protendida</w:t>
            </w:r>
          </w:p>
        </w:tc>
        <w:tc>
          <w:tcPr>
            <w:tcW w:type="dxa" w:w="3324"/>
          </w:tcPr>
          <w:p>
            <w:r>
              <w:t>Concreto, aço, forma, escoramento, cordoalha</w:t>
            </w:r>
          </w:p>
        </w:tc>
      </w:tr>
      <w:tr>
        <w:tc>
          <w:tcPr>
            <w:tcW w:type="dxa" w:w="3324"/>
          </w:tcPr>
          <w:p>
            <w:r>
              <w:t>Subsolos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Contenção, mov.terra, impermeabilização, fundação</w:t>
            </w:r>
          </w:p>
        </w:tc>
      </w:tr>
      <w:tr>
        <w:tc>
          <w:tcPr>
            <w:tcW w:type="dxa" w:w="3324"/>
          </w:tcPr>
          <w:p>
            <w:r>
              <w:t>Fundação</w:t>
            </w:r>
          </w:p>
        </w:tc>
        <w:tc>
          <w:tcPr>
            <w:tcW w:type="dxa" w:w="3324"/>
          </w:tcPr>
          <w:p>
            <w:r>
              <w:t>Hélice</w:t>
            </w:r>
          </w:p>
        </w:tc>
        <w:tc>
          <w:tcPr>
            <w:tcW w:type="dxa" w:w="3324"/>
          </w:tcPr>
          <w:p>
            <w:r>
              <w:t>Custo infraestrutura, tipo de perfuração</w:t>
            </w:r>
          </w:p>
        </w:tc>
      </w:tr>
      <w:tr>
        <w:tc>
          <w:tcPr>
            <w:tcW w:type="dxa" w:w="3324"/>
          </w:tcPr>
          <w:p>
            <w:r>
              <w:t>Padrão acabamento</w:t>
            </w:r>
          </w:p>
        </w:tc>
        <w:tc>
          <w:tcPr>
            <w:tcW w:type="dxa" w:w="3324"/>
          </w:tcPr>
          <w:p>
            <w:r>
              <w:t>Médio-Alto</w:t>
            </w:r>
          </w:p>
        </w:tc>
        <w:tc>
          <w:tcPr>
            <w:tcW w:type="dxa" w:w="3324"/>
          </w:tcPr>
          <w:p>
            <w:r>
              <w:t>Pisos, rev.parede, esquadrias, louças, fachada</w:t>
            </w:r>
          </w:p>
        </w:tc>
      </w:tr>
      <w:tr>
        <w:tc>
          <w:tcPr>
            <w:tcW w:type="dxa" w:w="3324"/>
          </w:tcPr>
          <w:p>
            <w:r>
              <w:t>Fachada</w:t>
            </w:r>
          </w:p>
        </w:tc>
        <w:tc>
          <w:tcPr>
            <w:tcW w:type="dxa" w:w="3324"/>
          </w:tcPr>
          <w:p>
            <w:r>
              <w:t>Textura</w:t>
            </w:r>
          </w:p>
        </w:tc>
        <w:tc>
          <w:tcPr>
            <w:tcW w:type="dxa" w:w="3324"/>
          </w:tcPr>
          <w:p>
            <w:r>
              <w:t>Custo fachada (R$/m²)</w:t>
            </w:r>
          </w:p>
        </w:tc>
      </w:tr>
      <w:tr>
        <w:tc>
          <w:tcPr>
            <w:tcW w:type="dxa" w:w="3324"/>
          </w:tcPr>
          <w:p>
            <w:r>
              <w:t>Pressurização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Sist. especiais (+R$ 80k se Sim)</w:t>
            </w:r>
          </w:p>
        </w:tc>
      </w:tr>
      <w:tr>
        <w:tc>
          <w:tcPr>
            <w:tcW w:type="dxa" w:w="3324"/>
          </w:tcPr>
          <w:p>
            <w:r>
              <w:t>Nº torres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Gerador, elevadores, equipamentos</w:t>
            </w:r>
          </w:p>
        </w:tc>
      </w:tr>
      <w:tr>
        <w:tc>
          <w:tcPr>
            <w:tcW w:type="dxa" w:w="3324"/>
          </w:tcPr>
          <w:p>
            <w:r>
              <w:t>Gerador dedicado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Sist. especiais (+R$ 120–350k se Sim)</w:t>
            </w:r>
          </w:p>
        </w:tc>
      </w:tr>
      <w:tr>
        <w:tc>
          <w:tcPr>
            <w:tcW w:type="dxa" w:w="3324"/>
          </w:tcPr>
          <w:p>
            <w:r>
              <w:t>Entrega</w:t>
            </w:r>
          </w:p>
        </w:tc>
        <w:tc>
          <w:tcPr>
            <w:tcW w:type="dxa" w:w="3324"/>
          </w:tcPr>
          <w:p>
            <w:r>
              <w:t>Completa</w:t>
            </w:r>
          </w:p>
        </w:tc>
        <w:tc>
          <w:tcPr>
            <w:tcW w:type="dxa" w:w="3324"/>
          </w:tcPr>
          <w:p>
            <w:r>
              <w:t>Shell desconta ~R$ 200/m²</w:t>
            </w:r>
          </w:p>
        </w:tc>
      </w:tr>
      <w:tr>
        <w:tc>
          <w:tcPr>
            <w:tcW w:type="dxa" w:w="3324"/>
          </w:tcPr>
          <w:p>
            <w:r>
              <w:t>Tipologia</w:t>
            </w:r>
          </w:p>
        </w:tc>
        <w:tc>
          <w:tcPr>
            <w:tcW w:type="dxa" w:w="3324"/>
          </w:tcPr>
          <w:p>
            <w:r>
              <w:t>Misto</w:t>
            </w:r>
          </w:p>
        </w:tc>
        <w:tc>
          <w:tcPr>
            <w:tcW w:type="dxa" w:w="3324"/>
          </w:tcPr>
          <w:p>
            <w:r>
              <w:t>Pontos elétricos, louças, alvenaria interna</w:t>
            </w:r>
          </w:p>
        </w:tc>
      </w:tr>
      <w:tr>
        <w:tc>
          <w:tcPr>
            <w:tcW w:type="dxa" w:w="3324"/>
          </w:tcPr>
          <w:p>
            <w:r>
              <w:t>Pé-direito</w:t>
            </w:r>
          </w:p>
        </w:tc>
        <w:tc>
          <w:tcPr>
            <w:tcW w:type="dxa" w:w="3324"/>
          </w:tcPr>
          <w:p>
            <w:r>
              <w:t>Baixo (2.80)</w:t>
            </w:r>
          </w:p>
        </w:tc>
        <w:tc>
          <w:tcPr>
            <w:tcW w:type="dxa" w:w="3324"/>
          </w:tcPr>
          <w:p>
            <w:r>
              <w:t>Estrutura/alvenaria (real = 2.88 m)</w:t>
            </w:r>
          </w:p>
        </w:tc>
      </w:tr>
      <w:tr>
        <w:tc>
          <w:tcPr>
            <w:tcW w:type="dxa" w:w="3324"/>
          </w:tcPr>
          <w:p>
            <w:r>
              <w:t>Nº banheiros/apto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Hidro, louças, impermeab., rev.parede</w:t>
            </w:r>
          </w:p>
        </w:tc>
      </w:tr>
      <w:tr>
        <w:tc>
          <w:tcPr>
            <w:tcW w:type="dxa" w:w="3324"/>
          </w:tcPr>
          <w:p>
            <w:r>
              <w:t>Tipo de piso</w:t>
            </w:r>
          </w:p>
        </w:tc>
        <w:tc>
          <w:tcPr>
            <w:tcW w:type="dxa" w:w="3324"/>
          </w:tcPr>
          <w:p>
            <w:r>
              <w:t>Porcelanato</w:t>
            </w:r>
          </w:p>
        </w:tc>
        <w:tc>
          <w:tcPr>
            <w:tcW w:type="dxa" w:w="3324"/>
          </w:tcPr>
          <w:p>
            <w:r>
              <w:t>PU pisos</w:t>
            </w:r>
          </w:p>
        </w:tc>
      </w:tr>
      <w:tr>
        <w:tc>
          <w:tcPr>
            <w:tcW w:type="dxa" w:w="3324"/>
          </w:tcPr>
          <w:p>
            <w:r>
              <w:t>Piscina</w:t>
            </w:r>
          </w:p>
        </w:tc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Sist. especiais (R$ 0 / 220k / 320k)</w:t>
            </w:r>
          </w:p>
        </w:tc>
      </w:tr>
    </w:tbl>
    <w:p/>
    <w:p>
      <w:pPr>
        <w:pStyle w:val="Heading2"/>
      </w:pPr>
      <w:r>
        <w:rPr>
          <w:color w:val="2980B9"/>
          <w:sz w:val="26"/>
        </w:rPr>
        <w:t>4. Custos por macrogrupo (V2)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Macrogrupo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Custo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R$/m²</w:t>
            </w:r>
          </w:p>
        </w:tc>
        <w:tc>
          <w:tcPr>
            <w:tcW w:type="dxa" w:w="2493"/>
          </w:tcPr>
          <w:p>
            <w:r>
              <w:rPr>
                <w:b/>
              </w:rPr>
              <w:t>% total</w:t>
            </w:r>
          </w:p>
        </w:tc>
      </w:tr>
      <w:tr>
        <w:tc>
          <w:tcPr>
            <w:tcW w:type="dxa" w:w="2493"/>
          </w:tcPr>
          <w:p>
            <w:r>
              <w:t>Supraestrutura</w:t>
            </w:r>
          </w:p>
        </w:tc>
        <w:tc>
          <w:tcPr>
            <w:tcW w:type="dxa" w:w="2493"/>
          </w:tcPr>
          <w:p>
            <w:r>
              <w:t>R$ 3.265.237</w:t>
            </w:r>
          </w:p>
        </w:tc>
        <w:tc>
          <w:tcPr>
            <w:tcW w:type="dxa" w:w="2493"/>
          </w:tcPr>
          <w:p>
            <w:r>
              <w:t>R$ 800,84</w:t>
            </w:r>
          </w:p>
        </w:tc>
        <w:tc>
          <w:tcPr>
            <w:tcW w:type="dxa" w:w="2493"/>
          </w:tcPr>
          <w:p>
            <w:r>
              <w:t>18.8%</w:t>
            </w:r>
          </w:p>
        </w:tc>
      </w:tr>
      <w:tr>
        <w:tc>
          <w:tcPr>
            <w:tcW w:type="dxa" w:w="2493"/>
          </w:tcPr>
          <w:p>
            <w:r>
              <w:t>Gerenciamento</w:t>
            </w:r>
          </w:p>
        </w:tc>
        <w:tc>
          <w:tcPr>
            <w:tcW w:type="dxa" w:w="2493"/>
          </w:tcPr>
          <w:p>
            <w:r>
              <w:t>R$ 2.972.792</w:t>
            </w:r>
          </w:p>
        </w:tc>
        <w:tc>
          <w:tcPr>
            <w:tcW w:type="dxa" w:w="2493"/>
          </w:tcPr>
          <w:p>
            <w:r>
              <w:t>R$ 729,11</w:t>
            </w:r>
          </w:p>
        </w:tc>
        <w:tc>
          <w:tcPr>
            <w:tcW w:type="dxa" w:w="2493"/>
          </w:tcPr>
          <w:p>
            <w:r>
              <w:t>17.1%</w:t>
            </w:r>
          </w:p>
        </w:tc>
      </w:tr>
      <w:tr>
        <w:tc>
          <w:tcPr>
            <w:tcW w:type="dxa" w:w="2493"/>
          </w:tcPr>
          <w:p>
            <w:r>
              <w:t>Instalações</w:t>
            </w:r>
          </w:p>
        </w:tc>
        <w:tc>
          <w:tcPr>
            <w:tcW w:type="dxa" w:w="2493"/>
          </w:tcPr>
          <w:p>
            <w:r>
              <w:t>R$ 1.439.528</w:t>
            </w:r>
          </w:p>
        </w:tc>
        <w:tc>
          <w:tcPr>
            <w:tcW w:type="dxa" w:w="2493"/>
          </w:tcPr>
          <w:p>
            <w:r>
              <w:t>R$ 353,06</w:t>
            </w:r>
          </w:p>
        </w:tc>
        <w:tc>
          <w:tcPr>
            <w:tcW w:type="dxa" w:w="2493"/>
          </w:tcPr>
          <w:p>
            <w:r>
              <w:t>8.3%</w:t>
            </w:r>
          </w:p>
        </w:tc>
      </w:tr>
      <w:tr>
        <w:tc>
          <w:tcPr>
            <w:tcW w:type="dxa" w:w="2493"/>
          </w:tcPr>
          <w:p>
            <w:r>
              <w:t>Complementares</w:t>
            </w:r>
          </w:p>
        </w:tc>
        <w:tc>
          <w:tcPr>
            <w:tcW w:type="dxa" w:w="2493"/>
          </w:tcPr>
          <w:p>
            <w:r>
              <w:t>R$ 1.346.012</w:t>
            </w:r>
          </w:p>
        </w:tc>
        <w:tc>
          <w:tcPr>
            <w:tcW w:type="dxa" w:w="2493"/>
          </w:tcPr>
          <w:p>
            <w:r>
              <w:t>R$ 330,12</w:t>
            </w:r>
          </w:p>
        </w:tc>
        <w:tc>
          <w:tcPr>
            <w:tcW w:type="dxa" w:w="2493"/>
          </w:tcPr>
          <w:p>
            <w:r>
              <w:t>7.8%</w:t>
            </w:r>
          </w:p>
        </w:tc>
      </w:tr>
      <w:tr>
        <w:tc>
          <w:tcPr>
            <w:tcW w:type="dxa" w:w="2493"/>
          </w:tcPr>
          <w:p>
            <w:r>
              <w:t>Esquadrias</w:t>
            </w:r>
          </w:p>
        </w:tc>
        <w:tc>
          <w:tcPr>
            <w:tcW w:type="dxa" w:w="2493"/>
          </w:tcPr>
          <w:p>
            <w:r>
              <w:t>R$ 1.325.119</w:t>
            </w:r>
          </w:p>
        </w:tc>
        <w:tc>
          <w:tcPr>
            <w:tcW w:type="dxa" w:w="2493"/>
          </w:tcPr>
          <w:p>
            <w:r>
              <w:t>R$ 325,00</w:t>
            </w:r>
          </w:p>
        </w:tc>
        <w:tc>
          <w:tcPr>
            <w:tcW w:type="dxa" w:w="2493"/>
          </w:tcPr>
          <w:p>
            <w:r>
              <w:t>7.6%</w:t>
            </w:r>
          </w:p>
        </w:tc>
      </w:tr>
      <w:tr>
        <w:tc>
          <w:tcPr>
            <w:tcW w:type="dxa" w:w="2493"/>
          </w:tcPr>
          <w:p>
            <w:r>
              <w:t>Fachada</w:t>
            </w:r>
          </w:p>
        </w:tc>
        <w:tc>
          <w:tcPr>
            <w:tcW w:type="dxa" w:w="2493"/>
          </w:tcPr>
          <w:p>
            <w:r>
              <w:t>R$ 966.960</w:t>
            </w:r>
          </w:p>
        </w:tc>
        <w:tc>
          <w:tcPr>
            <w:tcW w:type="dxa" w:w="2493"/>
          </w:tcPr>
          <w:p>
            <w:r>
              <w:t>R$ 237,16</w:t>
            </w:r>
          </w:p>
        </w:tc>
        <w:tc>
          <w:tcPr>
            <w:tcW w:type="dxa" w:w="2493"/>
          </w:tcPr>
          <w:p>
            <w:r>
              <w:t>5.6%</w:t>
            </w:r>
          </w:p>
        </w:tc>
      </w:tr>
      <w:tr>
        <w:tc>
          <w:tcPr>
            <w:tcW w:type="dxa" w:w="2493"/>
          </w:tcPr>
          <w:p>
            <w:r>
              <w:t>Infraestrutura</w:t>
            </w:r>
          </w:p>
        </w:tc>
        <w:tc>
          <w:tcPr>
            <w:tcW w:type="dxa" w:w="2493"/>
          </w:tcPr>
          <w:p>
            <w:r>
              <w:t>R$ 913.398</w:t>
            </w:r>
          </w:p>
        </w:tc>
        <w:tc>
          <w:tcPr>
            <w:tcW w:type="dxa" w:w="2493"/>
          </w:tcPr>
          <w:p>
            <w:r>
              <w:t>R$ 224,02</w:t>
            </w:r>
          </w:p>
        </w:tc>
        <w:tc>
          <w:tcPr>
            <w:tcW w:type="dxa" w:w="2493"/>
          </w:tcPr>
          <w:p>
            <w:r>
              <w:t>5.3%</w:t>
            </w:r>
          </w:p>
        </w:tc>
      </w:tr>
      <w:tr>
        <w:tc>
          <w:tcPr>
            <w:tcW w:type="dxa" w:w="2493"/>
          </w:tcPr>
          <w:p>
            <w:r>
              <w:t>Sist. Especiais</w:t>
            </w:r>
          </w:p>
        </w:tc>
        <w:tc>
          <w:tcPr>
            <w:tcW w:type="dxa" w:w="2493"/>
          </w:tcPr>
          <w:p>
            <w:r>
              <w:t>R$ 868.450</w:t>
            </w:r>
          </w:p>
        </w:tc>
        <w:tc>
          <w:tcPr>
            <w:tcW w:type="dxa" w:w="2493"/>
          </w:tcPr>
          <w:p>
            <w:r>
              <w:t>R$ 213,00</w:t>
            </w:r>
          </w:p>
        </w:tc>
        <w:tc>
          <w:tcPr>
            <w:tcW w:type="dxa" w:w="2493"/>
          </w:tcPr>
          <w:p>
            <w:r>
              <w:t>5.0%</w:t>
            </w:r>
          </w:p>
        </w:tc>
      </w:tr>
      <w:tr>
        <w:tc>
          <w:tcPr>
            <w:tcW w:type="dxa" w:w="2493"/>
          </w:tcPr>
          <w:p>
            <w:r>
              <w:t>Pisos</w:t>
            </w:r>
          </w:p>
        </w:tc>
        <w:tc>
          <w:tcPr>
            <w:tcW w:type="dxa" w:w="2493"/>
          </w:tcPr>
          <w:p>
            <w:r>
              <w:t>R$ 778.301</w:t>
            </w:r>
          </w:p>
        </w:tc>
        <w:tc>
          <w:tcPr>
            <w:tcW w:type="dxa" w:w="2493"/>
          </w:tcPr>
          <w:p>
            <w:r>
              <w:t>R$ 190,89</w:t>
            </w:r>
          </w:p>
        </w:tc>
        <w:tc>
          <w:tcPr>
            <w:tcW w:type="dxa" w:w="2493"/>
          </w:tcPr>
          <w:p>
            <w:r>
              <w:t>4.5%</w:t>
            </w:r>
          </w:p>
        </w:tc>
      </w:tr>
      <w:tr>
        <w:tc>
          <w:tcPr>
            <w:tcW w:type="dxa" w:w="2493"/>
          </w:tcPr>
          <w:p>
            <w:r>
              <w:t>Alvenaria</w:t>
            </w:r>
          </w:p>
        </w:tc>
        <w:tc>
          <w:tcPr>
            <w:tcW w:type="dxa" w:w="2493"/>
          </w:tcPr>
          <w:p>
            <w:r>
              <w:t>R$ 740.306</w:t>
            </w:r>
          </w:p>
        </w:tc>
        <w:tc>
          <w:tcPr>
            <w:tcW w:type="dxa" w:w="2493"/>
          </w:tcPr>
          <w:p>
            <w:r>
              <w:t>R$ 181,57</w:t>
            </w:r>
          </w:p>
        </w:tc>
        <w:tc>
          <w:tcPr>
            <w:tcW w:type="dxa" w:w="2493"/>
          </w:tcPr>
          <w:p>
            <w:r>
              <w:t>4.3%</w:t>
            </w:r>
          </w:p>
        </w:tc>
      </w:tr>
      <w:tr>
        <w:tc>
          <w:tcPr>
            <w:tcW w:type="dxa" w:w="2493"/>
          </w:tcPr>
          <w:p>
            <w:r>
              <w:t>Pintura</w:t>
            </w:r>
          </w:p>
        </w:tc>
        <w:tc>
          <w:tcPr>
            <w:tcW w:type="dxa" w:w="2493"/>
          </w:tcPr>
          <w:p>
            <w:r>
              <w:t>R$ 630.527</w:t>
            </w:r>
          </w:p>
        </w:tc>
        <w:tc>
          <w:tcPr>
            <w:tcW w:type="dxa" w:w="2493"/>
          </w:tcPr>
          <w:p>
            <w:r>
              <w:t>R$ 154,64</w:t>
            </w:r>
          </w:p>
        </w:tc>
        <w:tc>
          <w:tcPr>
            <w:tcW w:type="dxa" w:w="2493"/>
          </w:tcPr>
          <w:p>
            <w:r>
              <w:t>3.6%</w:t>
            </w:r>
          </w:p>
        </w:tc>
      </w:tr>
      <w:tr>
        <w:tc>
          <w:tcPr>
            <w:tcW w:type="dxa" w:w="2493"/>
          </w:tcPr>
          <w:p>
            <w:r>
              <w:t>Climatização</w:t>
            </w:r>
          </w:p>
        </w:tc>
        <w:tc>
          <w:tcPr>
            <w:tcW w:type="dxa" w:w="2493"/>
          </w:tcPr>
          <w:p>
            <w:r>
              <w:t>R$ 483.273</w:t>
            </w:r>
          </w:p>
        </w:tc>
        <w:tc>
          <w:tcPr>
            <w:tcW w:type="dxa" w:w="2493"/>
          </w:tcPr>
          <w:p>
            <w:r>
              <w:t>R$ 118,53</w:t>
            </w:r>
          </w:p>
        </w:tc>
        <w:tc>
          <w:tcPr>
            <w:tcW w:type="dxa" w:w="2493"/>
          </w:tcPr>
          <w:p>
            <w:r>
              <w:t>2.8%</w:t>
            </w:r>
          </w:p>
        </w:tc>
      </w:tr>
      <w:tr>
        <w:tc>
          <w:tcPr>
            <w:tcW w:type="dxa" w:w="2493"/>
          </w:tcPr>
          <w:p>
            <w:r>
              <w:t>Rev. Int. Parede</w:t>
            </w:r>
          </w:p>
        </w:tc>
        <w:tc>
          <w:tcPr>
            <w:tcW w:type="dxa" w:w="2493"/>
          </w:tcPr>
          <w:p>
            <w:r>
              <w:t>R$ 475.937</w:t>
            </w:r>
          </w:p>
        </w:tc>
        <w:tc>
          <w:tcPr>
            <w:tcW w:type="dxa" w:w="2493"/>
          </w:tcPr>
          <w:p>
            <w:r>
              <w:t>R$ 116,73</w:t>
            </w:r>
          </w:p>
        </w:tc>
        <w:tc>
          <w:tcPr>
            <w:tcW w:type="dxa" w:w="2493"/>
          </w:tcPr>
          <w:p>
            <w:r>
              <w:t>2.7%</w:t>
            </w:r>
          </w:p>
        </w:tc>
      </w:tr>
      <w:tr>
        <w:tc>
          <w:tcPr>
            <w:tcW w:type="dxa" w:w="2493"/>
          </w:tcPr>
          <w:p>
            <w:r>
              <w:t>Impermeabilização</w:t>
            </w:r>
          </w:p>
        </w:tc>
        <w:tc>
          <w:tcPr>
            <w:tcW w:type="dxa" w:w="2493"/>
          </w:tcPr>
          <w:p>
            <w:r>
              <w:t>R$ 304.277</w:t>
            </w:r>
          </w:p>
        </w:tc>
        <w:tc>
          <w:tcPr>
            <w:tcW w:type="dxa" w:w="2493"/>
          </w:tcPr>
          <w:p>
            <w:r>
              <w:t>R$ 74,63</w:t>
            </w:r>
          </w:p>
        </w:tc>
        <w:tc>
          <w:tcPr>
            <w:tcW w:type="dxa" w:w="2493"/>
          </w:tcPr>
          <w:p>
            <w:r>
              <w:t>1.8%</w:t>
            </w:r>
          </w:p>
        </w:tc>
      </w:tr>
      <w:tr>
        <w:tc>
          <w:tcPr>
            <w:tcW w:type="dxa" w:w="2493"/>
          </w:tcPr>
          <w:p>
            <w:r>
              <w:t>Teto</w:t>
            </w:r>
          </w:p>
        </w:tc>
        <w:tc>
          <w:tcPr>
            <w:tcW w:type="dxa" w:w="2493"/>
          </w:tcPr>
          <w:p>
            <w:r>
              <w:t>R$ 296.073</w:t>
            </w:r>
          </w:p>
        </w:tc>
        <w:tc>
          <w:tcPr>
            <w:tcW w:type="dxa" w:w="2493"/>
          </w:tcPr>
          <w:p>
            <w:r>
              <w:t>R$ 72,62</w:t>
            </w:r>
          </w:p>
        </w:tc>
        <w:tc>
          <w:tcPr>
            <w:tcW w:type="dxa" w:w="2493"/>
          </w:tcPr>
          <w:p>
            <w:r>
              <w:t>1.7%</w:t>
            </w:r>
          </w:p>
        </w:tc>
      </w:tr>
      <w:tr>
        <w:tc>
          <w:tcPr>
            <w:tcW w:type="dxa" w:w="2493"/>
          </w:tcPr>
          <w:p>
            <w:r>
              <w:t>Imprevistos</w:t>
            </w:r>
          </w:p>
        </w:tc>
        <w:tc>
          <w:tcPr>
            <w:tcW w:type="dxa" w:w="2493"/>
          </w:tcPr>
          <w:p>
            <w:r>
              <w:t>R$ 256.360</w:t>
            </w:r>
          </w:p>
        </w:tc>
        <w:tc>
          <w:tcPr>
            <w:tcW w:type="dxa" w:w="2493"/>
          </w:tcPr>
          <w:p>
            <w:r>
              <w:t>R$ 62,88</w:t>
            </w:r>
          </w:p>
        </w:tc>
        <w:tc>
          <w:tcPr>
            <w:tcW w:type="dxa" w:w="2493"/>
          </w:tcPr>
          <w:p>
            <w:r>
              <w:t>1.5%</w:t>
            </w:r>
          </w:p>
        </w:tc>
      </w:tr>
      <w:tr>
        <w:tc>
          <w:tcPr>
            <w:tcW w:type="dxa" w:w="2493"/>
          </w:tcPr>
          <w:p>
            <w:r>
              <w:t>Louças e Metais</w:t>
            </w:r>
          </w:p>
        </w:tc>
        <w:tc>
          <w:tcPr>
            <w:tcW w:type="dxa" w:w="2493"/>
          </w:tcPr>
          <w:p>
            <w:r>
              <w:t>R$ 154.000</w:t>
            </w:r>
          </w:p>
        </w:tc>
        <w:tc>
          <w:tcPr>
            <w:tcW w:type="dxa" w:w="2493"/>
          </w:tcPr>
          <w:p>
            <w:r>
              <w:t>R$ 37,77</w:t>
            </w:r>
          </w:p>
        </w:tc>
        <w:tc>
          <w:tcPr>
            <w:tcW w:type="dxa" w:w="2493"/>
          </w:tcPr>
          <w:p>
            <w:r>
              <w:t>0.9%</w:t>
            </w:r>
          </w:p>
        </w:tc>
      </w:tr>
      <w:tr>
        <w:tc>
          <w:tcPr>
            <w:tcW w:type="dxa" w:w="2493"/>
          </w:tcPr>
          <w:p>
            <w:r>
              <w:t>Mov. Terra</w:t>
            </w:r>
          </w:p>
        </w:tc>
        <w:tc>
          <w:tcPr>
            <w:tcW w:type="dxa" w:w="2493"/>
          </w:tcPr>
          <w:p>
            <w:r>
              <w:t>R$ 130.473</w:t>
            </w:r>
          </w:p>
        </w:tc>
        <w:tc>
          <w:tcPr>
            <w:tcW w:type="dxa" w:w="2493"/>
          </w:tcPr>
          <w:p>
            <w:r>
              <w:t>R$ 32,00</w:t>
            </w:r>
          </w:p>
        </w:tc>
        <w:tc>
          <w:tcPr>
            <w:tcW w:type="dxa" w:w="2493"/>
          </w:tcPr>
          <w:p>
            <w:r>
              <w:t>0.8%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R$ 17.347.024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R$ 4.254,55</w:t>
            </w:r>
          </w:p>
        </w:tc>
        <w:tc>
          <w:tcPr>
            <w:tcW w:type="dxa" w:w="2493"/>
          </w:tcPr>
          <w:p>
            <w:r>
              <w:rPr>
                <w:b/>
              </w:rPr>
              <w:t>100,0%</w:t>
            </w:r>
          </w:p>
        </w:tc>
      </w:tr>
    </w:tbl>
    <w:p/>
    <w:p>
      <w:pPr>
        <w:pStyle w:val="Heading2"/>
      </w:pPr>
      <w:r>
        <w:rPr>
          <w:color w:val="2980B9"/>
          <w:sz w:val="26"/>
        </w:rPr>
        <w:t>5. Fontes dos índices</w:t>
      </w:r>
    </w:p>
    <w:p>
      <w:r>
        <w:rPr>
          <w:b w:val="0"/>
          <w:i w:val="0"/>
          <w:sz w:val="22"/>
        </w:rPr>
        <w:t>A aba INDICES do xlsx traz 21 índices calibrados. Origem de cada um:</w:t>
      </w:r>
    </w:p>
    <w:p>
      <w:r>
        <w:rPr>
          <w:b w:val="0"/>
          <w:i w:val="0"/>
          <w:sz w:val="22"/>
        </w:rPr>
        <w:t>• BRIEFING — multiplicadores de padrão, fachada, laje vêm dos dropdowns (14 perguntas)</w:t>
      </w:r>
    </w:p>
    <w:p>
      <w:r>
        <w:rPr>
          <w:b w:val="0"/>
          <w:i w:val="0"/>
          <w:sz w:val="22"/>
        </w:rPr>
        <w:t>• Calibração cross-projeto — medianas/P25/P75 de 126 projetos calibrados da base Cartesian (`indices-derivados-v2.json`)</w:t>
      </w:r>
    </w:p>
    <w:p>
      <w:r>
        <w:rPr>
          <w:b w:val="0"/>
          <w:i w:val="0"/>
          <w:sz w:val="22"/>
        </w:rPr>
        <w:t>• Gemma labels (Fase 18b) — classificação semântica de itens via modelo local Gemma 4 26b; roteia clusters de PU pra macrogrupos corretos</w:t>
      </w:r>
    </w:p>
    <w:p>
      <w:r>
        <w:rPr>
          <w:b w:val="0"/>
          <w:i w:val="0"/>
          <w:sz w:val="22"/>
        </w:rPr>
        <w:t>• Supabase `indices-cartesian` (projeto nzyyptcfiqalhpybklfd) — fonte de verdade consultada via MCP durante geração</w:t>
      </w:r>
    </w:p>
    <w:p>
      <w:r>
        <w:rPr>
          <w:b w:val="0"/>
          <w:i w:val="0"/>
          <w:sz w:val="22"/>
        </w:rPr>
        <w:t>• Override manual — Col C da aba INDICES permite orçamentista sobrescrever qualquer índice durante reunião (fórmula Col D = IF(C="",B,C))</w:t>
      </w:r>
    </w:p>
    <w:p/>
    <w:p>
      <w:pPr>
        <w:pStyle w:val="Heading2"/>
      </w:pPr>
      <w:r>
        <w:rPr>
          <w:color w:val="2980B9"/>
          <w:sz w:val="26"/>
        </w:rPr>
        <w:t>6. Referências técnicas</w:t>
      </w:r>
    </w:p>
    <w:p>
      <w:r>
        <w:rPr>
          <w:b w:val="0"/>
          <w:i/>
          <w:sz w:val="22"/>
        </w:rPr>
        <w:t>• Paramétrico V2 Híbrido doc canônico: `~/orcamentos-openclaw/base/PARAMETRICO-V2-HIBRIDO.md`</w:t>
      </w:r>
    </w:p>
    <w:p>
      <w:r>
        <w:rPr>
          <w:b w:val="0"/>
          <w:i/>
          <w:sz w:val="22"/>
        </w:rPr>
        <w:t>• Workflow completo: `~/clawd/docs/ORCAMENTO-PARAMETRICO-WORKFLOW.md`</w:t>
      </w:r>
    </w:p>
    <w:p>
      <w:r>
        <w:rPr>
          <w:b w:val="0"/>
          <w:i/>
          <w:sz w:val="22"/>
        </w:rPr>
        <w:t>• Pacote: `~/orcamentos-openclaw/base/pacotes/placon-arminio-tavares/` (config `parametrico-v2-config.json`)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