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200"/>
      </w:pPr>
      <w:r>
        <w:rPr>
          <w:rFonts w:ascii="Calibri" w:hAnsi="Calibri"/>
          <w:b/>
          <w:color w:val="1E52F5"/>
          <w:sz w:val="44"/>
        </w:rPr>
        <w:t>Justificativa de Itens Acima da Media — Placon Hermann Blumenau (versao final)</w:t>
      </w:r>
    </w:p>
    <w:p>
      <w:r>
        <w:rPr>
          <w:rFonts w:ascii="Calibri" w:hAnsi="Calibri"/>
          <w:b/>
          <w:i w:val="0"/>
          <w:sz w:val="22"/>
        </w:rPr>
        <w:t>Comparacao filtrada:</w:t>
      </w:r>
      <w:r>
        <w:rPr>
          <w:rFonts w:ascii="Calibri" w:hAnsi="Calibri"/>
          <w:b w:val="0"/>
          <w:i w:val="0"/>
          <w:sz w:val="22"/>
        </w:rPr>
        <w:t xml:space="preserve"> obras de padrao Medio-Alto, em Florianopolis e regiao, base Cartesian (126 projetos).</w:t>
      </w:r>
    </w:p>
    <w:p>
      <w:r>
        <w:rPr>
          <w:rFonts w:ascii="Calibri" w:hAnsi="Calibri"/>
          <w:b/>
          <w:i w:val="0"/>
          <w:sz w:val="22"/>
        </w:rPr>
        <w:t>Gerado:</w:t>
      </w:r>
      <w:r>
        <w:rPr>
          <w:rFonts w:ascii="Calibri" w:hAnsi="Calibri"/>
          <w:b w:val="0"/>
          <w:i w:val="0"/>
          <w:sz w:val="22"/>
        </w:rPr>
        <w:t xml:space="preserve"> 2026-06-01T18:27:09-03:00 BRT</w:t>
      </w:r>
    </w:p>
    <w:p>
      <w:pPr>
        <w:ind w:left="432"/>
      </w:pPr>
      <w:r>
        <w:rPr>
          <w:rFonts w:ascii="Calibri" w:hAnsi="Calibri"/>
          <w:b w:val="0"/>
          <w:i/>
          <w:color w:val="454E5E"/>
          <w:sz w:val="20"/>
        </w:rPr>
        <w:t xml:space="preserve">Quantidades de arquitetura </w:t>
      </w:r>
      <w:r>
        <w:rPr>
          <w:rFonts w:ascii="Calibri" w:hAnsi="Calibri"/>
          <w:b/>
          <w:i/>
          <w:color w:val="454E5E"/>
          <w:sz w:val="20"/>
        </w:rPr>
        <w:t>validadas contra o modelo BIM</w:t>
      </w:r>
      <w:r>
        <w:rPr>
          <w:rFonts w:ascii="Calibri" w:hAnsi="Calibri"/>
          <w:b w:val="0"/>
          <w:i/>
          <w:color w:val="454E5E"/>
          <w:sz w:val="20"/>
        </w:rPr>
        <w:t xml:space="preserve"> (takeoff Solibri); base fisica (AC/unidades) confirmada no projeto legal R05. Comparacao contra obras semelhantes, sem citar nomes. Foco nos macrogrupos de maior peso.</w:t>
      </w:r>
    </w:p>
    <w:p>
      <w:pPr>
        <w:spacing w:before="240" w:after="100"/>
      </w:pPr>
      <w:r>
        <w:rPr>
          <w:rFonts w:ascii="Calibri" w:hAnsi="Calibri"/>
          <w:b/>
          <w:color w:val="0F1C4A"/>
          <w:sz w:val="32"/>
        </w:rPr>
        <w:t>Macrogrupos de maior valor (R$/m2)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fill="1E52F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Macrogrupo</w:t>
            </w:r>
          </w:p>
        </w:tc>
        <w:tc>
          <w:tcPr>
            <w:tcW w:type="dxa" w:w="2551"/>
            <w:shd w:fill="1E52F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R$/m2</w:t>
            </w:r>
          </w:p>
        </w:tc>
        <w:tc>
          <w:tcPr>
            <w:tcW w:type="dxa" w:w="2268"/>
            <w:shd w:fill="1E52F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do total</w:t>
            </w:r>
          </w:p>
        </w:tc>
        <w:tc>
          <w:tcPr>
            <w:tcW w:type="dxa" w:w="2268"/>
            <w:shd w:fill="1E52F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Por que neste patamar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Supraestrutura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786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20.0%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Taxa de aco de obra alta (106 kg/m3) pelos 22 niveis — o aco e o maior item (29% da Supra). 'Convencional' aqui e laje macica grossa (h 20-25 cm), robusta e concreto-intensiva: quem baixaria o custo seria a protensao, nao o contrario. fck 40 MPa (revisao estrutural).</w:t>
            </w:r>
          </w:p>
        </w:tc>
      </w:tr>
      <w:tr>
        <w:tc>
          <w:tcPr>
            <w:tcW w:type="dxa" w:w="2551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Gerenciamento</w:t>
            </w:r>
          </w:p>
        </w:tc>
        <w:tc>
          <w:tcPr>
            <w:tcW w:type="dxa" w:w="2551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584</w:t>
            </w:r>
          </w:p>
        </w:tc>
        <w:tc>
          <w:tcPr>
            <w:tcW w:type="dxa" w:w="226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14.9%</w:t>
            </w:r>
          </w:p>
        </w:tc>
        <w:tc>
          <w:tcPr>
            <w:tcW w:type="dxa" w:w="226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Equipe tecnica ENXUTA (~R$31 mil/mes: 1 eng, 1 mestre, 1 encarregado). O R$/m2 sobe por GEOMETRIA, nao por gordura: custos fixos (projetos, taxas, grua) diluidos num footprint pequeno + 30 meses de torre. Projetos (R$380k) e equipamentos (R$400k) ja a preco de mercado.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Instalações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379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9.7%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Eletrica (Premiere: BT 400A, medicao centralizada) + hidro completos; gas natural; 2 elevadores e prumadas de torre alta.</w:t>
            </w:r>
          </w:p>
        </w:tc>
      </w:tr>
      <w:tr>
        <w:tc>
          <w:tcPr>
            <w:tcW w:type="dxa" w:w="2551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Esquadrias</w:t>
            </w:r>
          </w:p>
        </w:tc>
        <w:tc>
          <w:tcPr>
            <w:tcW w:type="dxa" w:w="2551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325</w:t>
            </w:r>
          </w:p>
        </w:tc>
        <w:tc>
          <w:tcPr>
            <w:tcW w:type="dxa" w:w="226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8.3%</w:t>
            </w:r>
          </w:p>
        </w:tc>
        <w:tc>
          <w:tcPr>
            <w:tcW w:type="dxa" w:w="226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Padrao M-A: aluminio + vidro de qualidade, sacadas/Garden, grandes vaos (patamar mercado-premium).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Infraestrutura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293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7.5%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Contencao do subsolo por PAREDE DIAFRAGMA (projeto estrutural) em terreno de centro confinado entre vizinhos — mais robusta e cara que cortina convencional. Estimativa a ajustar com o quantitativo estrutural.</w:t>
            </w:r>
          </w:p>
        </w:tc>
      </w:tr>
      <w:tr>
        <w:tc>
          <w:tcPr>
            <w:tcW w:type="dxa" w:w="2551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Complementares</w:t>
            </w:r>
          </w:p>
        </w:tc>
        <w:tc>
          <w:tcPr>
            <w:tcW w:type="dxa" w:w="2551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235</w:t>
            </w:r>
          </w:p>
        </w:tc>
        <w:tc>
          <w:tcPr>
            <w:tcW w:type="dxa" w:w="226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6.0%</w:t>
            </w:r>
          </w:p>
        </w:tc>
        <w:tc>
          <w:tcPr>
            <w:tcW w:type="dxa" w:w="226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Lazer completo de cobertura: piscina + salao + academia + rooftop.</w:t>
            </w:r>
          </w:p>
        </w:tc>
      </w:tr>
    </w:tbl>
    <w:p>
      <w:pPr>
        <w:spacing w:before="240" w:after="100"/>
      </w:pPr>
      <w:r>
        <w:rPr>
          <w:rFonts w:ascii="Calibri" w:hAnsi="Calibri"/>
          <w:b/>
          <w:color w:val="0F1C4A"/>
          <w:sz w:val="32"/>
        </w:rPr>
        <w:t>Efeito da validacao BIM + projeto legal (vs estimativa inicial)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Alvenaria −R$ 497 mil:</w:t>
      </w:r>
      <w:r>
        <w:rPr>
          <w:rFonts w:ascii="Calibri" w:hAnsi="Calibri"/>
          <w:b w:val="0"/>
          <w:i w:val="0"/>
          <w:sz w:val="22"/>
        </w:rPr>
        <w:t xml:space="preserve"> modelo e 100% bloco ceramico (sem drywall que a estimativa inicial assumia) — item entrou abaixo do mercado.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Fachada −R$ 166 mil:</w:t>
      </w:r>
      <w:r>
        <w:rPr>
          <w:rFonts w:ascii="Calibri" w:hAnsi="Calibri"/>
          <w:b w:val="0"/>
          <w:i w:val="0"/>
          <w:sz w:val="22"/>
        </w:rPr>
        <w:t xml:space="preserve"> envelope real do modelo menor que a estimativa por indice.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Forro +R$ 176 mil:</w:t>
      </w:r>
      <w:r>
        <w:rPr>
          <w:rFonts w:ascii="Calibri" w:hAnsi="Calibri"/>
          <w:b w:val="0"/>
          <w:i w:val="0"/>
          <w:sz w:val="22"/>
        </w:rPr>
        <w:t xml:space="preserve"> apareceu forro ripado de madeira (~980 m2) nao previsto.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Infraestrutura +R$ 493 mil:</w:t>
      </w:r>
      <w:r>
        <w:rPr>
          <w:rFonts w:ascii="Calibri" w:hAnsi="Calibri"/>
          <w:b w:val="0"/>
          <w:i w:val="0"/>
          <w:sz w:val="22"/>
        </w:rPr>
        <w:t xml:space="preserve"> contencao generica trocada por parede diafragma (projeto estrutural).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Gerenciamento −R$ 200 mil:</w:t>
      </w:r>
      <w:r>
        <w:rPr>
          <w:rFonts w:ascii="Calibri" w:hAnsi="Calibri"/>
          <w:b w:val="0"/>
          <w:i w:val="0"/>
          <w:sz w:val="22"/>
        </w:rPr>
        <w:t xml:space="preserve"> projetos (R$380k) e equipamentos/grua (R$400k) a preco de mercado; equipe tecnica mantida enxuta.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AC e unidades confirmadas no projeto legal R05</w:t>
      </w:r>
      <w:r>
        <w:rPr>
          <w:rFonts w:ascii="Calibri" w:hAnsi="Calibri"/>
          <w:b w:val="0"/>
          <w:i w:val="0"/>
          <w:sz w:val="22"/>
        </w:rPr>
        <w:t xml:space="preserve"> (5.877,96 m2; 35 aptos + 1 loja) — base inalterada.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Total final:</w:t>
      </w:r>
      <w:r>
        <w:rPr>
          <w:rFonts w:ascii="Calibri" w:hAnsi="Calibri"/>
          <w:b w:val="0"/>
          <w:i w:val="0"/>
          <w:sz w:val="22"/>
        </w:rPr>
        <w:t xml:space="preserve"> R$ 23.036.881,00 (3,919/m2; R$ 658.196,60/UR) — vs R$ 23,28 mi da estimativa inicial.</w:t>
      </w:r>
    </w:p>
    <w:p>
      <w:pPr>
        <w:spacing w:before="240" w:after="100"/>
      </w:pPr>
      <w:r>
        <w:rPr>
          <w:rFonts w:ascii="Calibri" w:hAnsi="Calibri"/>
          <w:b/>
          <w:color w:val="0F1C4A"/>
          <w:sz w:val="32"/>
        </w:rPr>
        <w:t>Estrutura vs obras reais (base Cartesian)</w:t>
      </w:r>
    </w:p>
    <w:p>
      <w:r>
        <w:rPr>
          <w:rFonts w:ascii="Calibri" w:hAnsi="Calibri"/>
          <w:b w:val="0"/>
          <w:i w:val="0"/>
          <w:sz w:val="22"/>
        </w:rPr>
        <w:t xml:space="preserve">A Supraestrutura escala com a altura — confirmado em executivos reais. Base </w:t>
      </w:r>
      <w:r>
        <w:rPr>
          <w:rFonts w:ascii="Calibri" w:hAnsi="Calibri"/>
          <w:b/>
          <w:i w:val="0"/>
          <w:sz w:val="22"/>
        </w:rPr>
        <w:t>material</w:t>
      </w:r>
      <w:r>
        <w:rPr>
          <w:rFonts w:ascii="Calibri" w:hAnsi="Calibri"/>
          <w:b w:val="0"/>
          <w:i w:val="0"/>
          <w:sz w:val="22"/>
        </w:rPr>
        <w:t xml:space="preserve"> (concreto+aco+forma, R$/m2): Obra 6 pav R$345 / Obra 4 pav R$433 / Obra 12 pav R$514 / </w:t>
      </w:r>
      <w:r>
        <w:rPr>
          <w:rFonts w:ascii="Calibri" w:hAnsi="Calibri"/>
          <w:b/>
          <w:i w:val="0"/>
          <w:sz w:val="22"/>
        </w:rPr>
        <w:t>Hermann 22 niveis R$530</w:t>
      </w:r>
      <w:r>
        <w:rPr>
          <w:rFonts w:ascii="Calibri" w:hAnsi="Calibri"/>
          <w:b w:val="0"/>
          <w:i w:val="0"/>
          <w:sz w:val="22"/>
        </w:rPr>
        <w:t xml:space="preserve">. Base </w:t>
      </w:r>
      <w:r>
        <w:rPr>
          <w:rFonts w:ascii="Calibri" w:hAnsi="Calibri"/>
          <w:b/>
          <w:i w:val="0"/>
          <w:sz w:val="22"/>
        </w:rPr>
        <w:t>material + MO</w:t>
      </w:r>
      <w:r>
        <w:rPr>
          <w:rFonts w:ascii="Calibri" w:hAnsi="Calibri"/>
          <w:b w:val="0"/>
          <w:i w:val="0"/>
          <w:sz w:val="22"/>
        </w:rPr>
        <w:t xml:space="preserve">: Obra 9 pav R$670 / </w:t>
      </w:r>
      <w:r>
        <w:rPr>
          <w:rFonts w:ascii="Calibri" w:hAnsi="Calibri"/>
          <w:b/>
          <w:i w:val="0"/>
          <w:sz w:val="22"/>
        </w:rPr>
        <w:t>Hermann R$786</w:t>
      </w:r>
      <w:r>
        <w:rPr>
          <w:rFonts w:ascii="Calibri" w:hAnsi="Calibri"/>
          <w:b w:val="0"/>
          <w:i w:val="0"/>
          <w:sz w:val="22"/>
        </w:rPr>
        <w:t xml:space="preserve"> / Obra 18 pav (protendida) R$801. O Hermann e o mais alto da lista, logo no topo natural da curva — nao e sobrepreco. (Parte das obras lanca a mao de obra numa linha 'empreitada global'; por isso a base material e comparada a parte — a MO da estrutura do Hermann e R$256/m2.)</w:t>
      </w:r>
    </w:p>
    <w:p>
      <w:pPr>
        <w:spacing w:before="240" w:after="100"/>
      </w:pPr>
      <w:r>
        <w:rPr>
          <w:rFonts w:ascii="Calibri" w:hAnsi="Calibri"/>
          <w:b/>
          <w:color w:val="0F1C4A"/>
          <w:sz w:val="32"/>
        </w:rPr>
        <w:t>Notas de metodo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Revestimento de parede dividido em argamassado + ceramico (padrao M-A); area total casou com o BIM (~1,5%).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Itens de instalacoes/estrutura permanecem por indice/projeto; nao validaveis pelo modelo arquitetonico.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Valores sao referencia de viabilidade (ordem de grandeza, margem +-25%), nao orcamento executivo.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