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00"/>
      </w:pPr>
      <w:r>
        <w:rPr>
          <w:rFonts w:ascii="Calibri" w:hAnsi="Calibri"/>
          <w:b/>
          <w:color w:val="1E52F5"/>
          <w:sz w:val="44"/>
        </w:rPr>
        <w:t>Premissas de Origem — Placon Hermann Blumenau (versao final)</w:t>
      </w:r>
    </w:p>
    <w:p>
      <w:r>
        <w:rPr>
          <w:rFonts w:ascii="Calibri" w:hAnsi="Calibri"/>
          <w:b/>
          <w:i w:val="0"/>
          <w:sz w:val="22"/>
        </w:rPr>
        <w:t>Cliente:</w:t>
      </w:r>
      <w:r>
        <w:rPr>
          <w:rFonts w:ascii="Calibri" w:hAnsi="Calibri"/>
          <w:b w:val="0"/>
          <w:i w:val="0"/>
          <w:sz w:val="22"/>
        </w:rPr>
        <w:t xml:space="preserve"> Placon Empreendimentos Imobiliários Ltda</w:t>
      </w:r>
    </w:p>
    <w:p>
      <w:r>
        <w:rPr>
          <w:rFonts w:ascii="Calibri" w:hAnsi="Calibri"/>
          <w:b/>
          <w:i w:val="0"/>
          <w:sz w:val="22"/>
        </w:rPr>
        <w:t>Local:</w:t>
      </w:r>
      <w:r>
        <w:rPr>
          <w:rFonts w:ascii="Calibri" w:hAnsi="Calibri"/>
          <w:b w:val="0"/>
          <w:i w:val="0"/>
          <w:sz w:val="22"/>
        </w:rPr>
        <w:t xml:space="preserve"> Rua Hermann Blumenau, 61 e 71, Centro, Florianópolis/SC</w:t>
      </w:r>
    </w:p>
    <w:p>
      <w:r>
        <w:rPr>
          <w:rFonts w:ascii="Calibri" w:hAnsi="Calibri"/>
          <w:b/>
          <w:i w:val="0"/>
          <w:sz w:val="22"/>
        </w:rPr>
        <w:t>Arquiteto:</w:t>
      </w:r>
      <w:r>
        <w:rPr>
          <w:rFonts w:ascii="Calibri" w:hAnsi="Calibri"/>
          <w:b w:val="0"/>
          <w:i w:val="0"/>
          <w:sz w:val="22"/>
        </w:rPr>
        <w:t xml:space="preserve"> OSPA Arquitetura e Urbanismo (Guilherme Moraes Silva)</w:t>
      </w:r>
    </w:p>
    <w:p>
      <w:r>
        <w:rPr>
          <w:rFonts w:ascii="Calibri" w:hAnsi="Calibri"/>
          <w:b/>
          <w:i w:val="0"/>
          <w:sz w:val="22"/>
        </w:rPr>
        <w:t>Gerado:</w:t>
      </w:r>
      <w:r>
        <w:rPr>
          <w:rFonts w:ascii="Calibri" w:hAnsi="Calibri"/>
          <w:b w:val="0"/>
          <w:i w:val="0"/>
          <w:sz w:val="22"/>
        </w:rPr>
        <w:t xml:space="preserve"> 2026-06-01T18:27:09-03:00 BRT</w:t>
      </w:r>
    </w:p>
    <w:p>
      <w:pPr>
        <w:ind w:left="432"/>
      </w:pPr>
      <w:r>
        <w:rPr>
          <w:rFonts w:ascii="Calibri" w:hAnsi="Calibri"/>
          <w:b w:val="0"/>
          <w:i/>
          <w:color w:val="454E5E"/>
          <w:sz w:val="20"/>
        </w:rPr>
        <w:t xml:space="preserve">Premissas validadas contra o </w:t>
      </w:r>
      <w:r>
        <w:rPr>
          <w:rFonts w:ascii="Calibri" w:hAnsi="Calibri"/>
          <w:b/>
          <w:i/>
          <w:color w:val="454E5E"/>
          <w:sz w:val="20"/>
        </w:rPr>
        <w:t>projeto legal R05</w:t>
      </w:r>
      <w:r>
        <w:rPr>
          <w:rFonts w:ascii="Calibri" w:hAnsi="Calibri"/>
          <w:b w:val="0"/>
          <w:i/>
          <w:color w:val="454E5E"/>
          <w:sz w:val="20"/>
        </w:rPr>
        <w:t xml:space="preserve"> (quadro de areas OSPA), o </w:t>
      </w:r>
      <w:r>
        <w:rPr>
          <w:rFonts w:ascii="Calibri" w:hAnsi="Calibri"/>
          <w:b/>
          <w:i/>
          <w:color w:val="454E5E"/>
          <w:sz w:val="20"/>
        </w:rPr>
        <w:t>modelo BIM</w:t>
      </w:r>
      <w:r>
        <w:rPr>
          <w:rFonts w:ascii="Calibri" w:hAnsi="Calibri"/>
          <w:b w:val="0"/>
          <w:i/>
          <w:color w:val="454E5E"/>
          <w:sz w:val="20"/>
        </w:rPr>
        <w:t xml:space="preserve"> (takeoff Solibri) e os </w:t>
      </w:r>
      <w:r>
        <w:rPr>
          <w:rFonts w:ascii="Calibri" w:hAnsi="Calibri"/>
          <w:b/>
          <w:i/>
          <w:color w:val="454E5E"/>
          <w:sz w:val="20"/>
        </w:rPr>
        <w:t>estudos de complementares</w:t>
      </w:r>
      <w:r>
        <w:rPr>
          <w:rFonts w:ascii="Calibri" w:hAnsi="Calibri"/>
          <w:b w:val="0"/>
          <w:i/>
          <w:color w:val="454E5E"/>
          <w:sz w:val="20"/>
        </w:rPr>
        <w:t xml:space="preserve"> (Premiere). O empreendimento </w:t>
      </w:r>
      <w:r>
        <w:rPr>
          <w:rFonts w:ascii="Calibri" w:hAnsi="Calibri"/>
          <w:b/>
          <w:i/>
          <w:color w:val="454E5E"/>
          <w:sz w:val="20"/>
        </w:rPr>
        <w:t>nao possui memorial de acabamentos</w:t>
      </w:r>
      <w:r>
        <w:rPr>
          <w:rFonts w:ascii="Calibri" w:hAnsi="Calibri"/>
          <w:b w:val="0"/>
          <w:i/>
          <w:color w:val="454E5E"/>
          <w:sz w:val="20"/>
        </w:rPr>
        <w:t xml:space="preserve">; o padrao adotado e </w:t>
      </w:r>
      <w:r>
        <w:rPr>
          <w:rFonts w:ascii="Calibri" w:hAnsi="Calibri"/>
          <w:b/>
          <w:i/>
          <w:color w:val="454E5E"/>
          <w:sz w:val="20"/>
        </w:rPr>
        <w:t>Medio-Alto (M-A)</w:t>
      </w:r>
      <w:r>
        <w:rPr>
          <w:rFonts w:ascii="Calibri" w:hAnsi="Calibri"/>
          <w:b w:val="0"/>
          <w:i/>
          <w:color w:val="454E5E"/>
          <w:sz w:val="20"/>
        </w:rPr>
        <w:t>, estimado pela Cartesian. Itens marcados como *Estimativa Cartesian* devem ser validados com a Placon.</w:t>
      </w:r>
    </w:p>
    <w:p>
      <w:pPr>
        <w:spacing w:before="240" w:after="100"/>
      </w:pPr>
      <w:r>
        <w:rPr>
          <w:rFonts w:ascii="Calibri" w:hAnsi="Calibri"/>
          <w:b/>
          <w:color w:val="0F1C4A"/>
          <w:sz w:val="32"/>
        </w:rPr>
        <w:t>Dados fisicos (fonte: Projeto Legal R05 — quadro de areas, prancha 02)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Area construida (AC): </w:t>
      </w:r>
      <w:r>
        <w:rPr>
          <w:rFonts w:ascii="Calibri" w:hAnsi="Calibri"/>
          <w:b/>
          <w:i w:val="0"/>
          <w:sz w:val="22"/>
        </w:rPr>
        <w:t>5,877.96 m2</w:t>
      </w:r>
      <w:r>
        <w:rPr>
          <w:rFonts w:ascii="Calibri" w:hAnsi="Calibri"/>
          <w:b w:val="0"/>
          <w:i w:val="0"/>
          <w:sz w:val="22"/>
        </w:rPr>
        <w:t xml:space="preserve"> (confirmada no quadro de areas R05)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Area computavel: 4,074.04 m2 | privativa: 3,564.73 m2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Terreno: 863.43 m2 (remanescente 853.21)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Unidades: </w:t>
      </w:r>
      <w:r>
        <w:rPr>
          <w:rFonts w:ascii="Calibri" w:hAnsi="Calibri"/>
          <w:b/>
          <w:i w:val="0"/>
          <w:sz w:val="22"/>
        </w:rPr>
        <w:t>35 apartamentos + 1 loja</w:t>
      </w:r>
      <w:r>
        <w:rPr>
          <w:rFonts w:ascii="Calibri" w:hAnsi="Calibri"/>
          <w:b w:val="0"/>
          <w:i w:val="0"/>
          <w:sz w:val="22"/>
        </w:rPr>
        <w:t xml:space="preserve"> (quadro UNIDADES R05); apto medio ~82 m2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Pavimentos: 20 (np) / 13 tipo; ~22 niveis estruturais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Alturas (Corte AA, projeto legal R05): </w:t>
      </w:r>
      <w:r>
        <w:rPr>
          <w:rFonts w:ascii="Calibri" w:hAnsi="Calibri"/>
          <w:b/>
          <w:i w:val="0"/>
          <w:sz w:val="22"/>
        </w:rPr>
        <w:t>fachada 69.96 m</w:t>
      </w:r>
      <w:r>
        <w:rPr>
          <w:rFonts w:ascii="Calibri" w:hAnsi="Calibri"/>
          <w:b w:val="0"/>
          <w:i w:val="0"/>
          <w:sz w:val="22"/>
        </w:rPr>
        <w:t xml:space="preserve"> · topo extracao de fumaca 83.98 m · </w:t>
      </w:r>
      <w:r>
        <w:rPr>
          <w:rFonts w:ascii="Calibri" w:hAnsi="Calibri"/>
          <w:b/>
          <w:i w:val="0"/>
          <w:sz w:val="22"/>
        </w:rPr>
        <w:t>total do empreendimento 86.98 m</w:t>
      </w:r>
      <w:r>
        <w:rPr>
          <w:rFonts w:ascii="Calibri" w:hAnsi="Calibri"/>
          <w:b w:val="0"/>
          <w:i w:val="0"/>
          <w:sz w:val="22"/>
        </w:rPr>
        <w:t xml:space="preserve"> (altura regulatoria de zoneamento/PCI ~51,76 m)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Vagas: 41 (35 resid + 6 PCD/visitante); infra p/ carro eletrico | 2 elevadores (TKE)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Laje: </w:t>
      </w:r>
      <w:r>
        <w:rPr>
          <w:rFonts w:ascii="Calibri" w:hAnsi="Calibri"/>
          <w:b/>
          <w:i w:val="0"/>
          <w:sz w:val="22"/>
        </w:rPr>
        <w:t>nao protendida</w:t>
      </w:r>
      <w:r>
        <w:rPr>
          <w:rFonts w:ascii="Calibri" w:hAnsi="Calibri"/>
          <w:b w:val="0"/>
          <w:i w:val="0"/>
          <w:sz w:val="22"/>
        </w:rPr>
        <w:t xml:space="preserve"> (pranchas EST); validacao BIM aponta laje macica apoiada em pilares/nucleos — detalhar na revisao estrutural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Vedacao: </w:t>
      </w:r>
      <w:r>
        <w:rPr>
          <w:rFonts w:ascii="Calibri" w:hAnsi="Calibri"/>
          <w:b/>
          <w:i w:val="0"/>
          <w:sz w:val="22"/>
        </w:rPr>
        <w:t>100% alvenaria de bloco ceramico</w:t>
      </w:r>
      <w:r>
        <w:rPr>
          <w:rFonts w:ascii="Calibri" w:hAnsi="Calibri"/>
          <w:b w:val="0"/>
          <w:i w:val="0"/>
          <w:sz w:val="22"/>
        </w:rPr>
        <w:t xml:space="preserve"> (sem drywall — confirmado em modelo BIM, PCI e demais docs)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Fundacao: </w:t>
      </w:r>
      <w:r>
        <w:rPr>
          <w:rFonts w:ascii="Calibri" w:hAnsi="Calibri"/>
          <w:b/>
          <w:i w:val="0"/>
          <w:sz w:val="22"/>
        </w:rPr>
        <w:t>estacas + blocos</w:t>
      </w:r>
      <w:r>
        <w:rPr>
          <w:rFonts w:ascii="Calibri" w:hAnsi="Calibri"/>
          <w:b w:val="0"/>
          <w:i w:val="0"/>
          <w:sz w:val="22"/>
        </w:rPr>
        <w:t xml:space="preserve">; contencao do subsolo por </w:t>
      </w:r>
      <w:r>
        <w:rPr>
          <w:rFonts w:ascii="Calibri" w:hAnsi="Calibri"/>
          <w:b/>
          <w:i w:val="0"/>
          <w:sz w:val="22"/>
        </w:rPr>
        <w:t>parede diafragma</w:t>
      </w:r>
      <w:r>
        <w:rPr>
          <w:rFonts w:ascii="Calibri" w:hAnsi="Calibri"/>
          <w:b w:val="0"/>
          <w:i w:val="0"/>
          <w:sz w:val="22"/>
        </w:rPr>
        <w:t xml:space="preserve"> (projeto estrutural Lunardeli)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Gas: </w:t>
      </w:r>
      <w:r>
        <w:rPr>
          <w:rFonts w:ascii="Calibri" w:hAnsi="Calibri"/>
          <w:b/>
          <w:i w:val="0"/>
          <w:sz w:val="22"/>
        </w:rPr>
        <w:t>gas natural</w:t>
      </w:r>
      <w:r>
        <w:rPr>
          <w:rFonts w:ascii="Calibri" w:hAnsi="Calibri"/>
          <w:b w:val="0"/>
          <w:i w:val="0"/>
          <w:sz w:val="22"/>
        </w:rPr>
        <w:t xml:space="preserve"> (SCGas); Pressurizacao de escada: </w:t>
      </w:r>
      <w:r>
        <w:rPr>
          <w:rFonts w:ascii="Calibri" w:hAnsi="Calibri"/>
          <w:b/>
          <w:i w:val="0"/>
          <w:sz w:val="22"/>
        </w:rPr>
        <w:t>nao</w:t>
      </w:r>
      <w:r>
        <w:rPr>
          <w:rFonts w:ascii="Calibri" w:hAnsi="Calibri"/>
          <w:b w:val="0"/>
          <w:i w:val="0"/>
          <w:sz w:val="22"/>
        </w:rPr>
        <w:t xml:space="preserve"> (escada enclausurada ventilada); Gerador: </w:t>
      </w:r>
      <w:r>
        <w:rPr>
          <w:rFonts w:ascii="Calibri" w:hAnsi="Calibri"/>
          <w:b/>
          <w:i w:val="0"/>
          <w:sz w:val="22"/>
        </w:rPr>
        <w:t>allowance</w:t>
      </w:r>
      <w:r>
        <w:rPr>
          <w:rFonts w:ascii="Calibri" w:hAnsi="Calibri"/>
          <w:b w:val="0"/>
          <w:i w:val="0"/>
          <w:sz w:val="22"/>
        </w:rPr>
        <w:t xml:space="preserve"> 12 kVA (bomba pluvial)</w:t>
      </w:r>
    </w:p>
    <w:p>
      <w:pPr>
        <w:spacing w:before="240" w:after="100"/>
      </w:pPr>
      <w:r>
        <w:rPr>
          <w:rFonts w:ascii="Calibri" w:hAnsi="Calibri"/>
          <w:b/>
          <w:color w:val="0F1C4A"/>
          <w:sz w:val="32"/>
        </w:rPr>
        <w:t>Premissas por macrogrupo (origem da informacao)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28"/>
            <w:shd w:fill="1E52F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Macrogrupo</w:t>
            </w:r>
          </w:p>
        </w:tc>
        <w:tc>
          <w:tcPr>
            <w:tcW w:type="dxa" w:w="1928"/>
            <w:shd w:fill="1E52F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R$/m2</w:t>
            </w:r>
          </w:p>
        </w:tc>
        <w:tc>
          <w:tcPr>
            <w:tcW w:type="dxa" w:w="1928"/>
            <w:shd w:fill="1E52F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%</w:t>
            </w:r>
          </w:p>
        </w:tc>
        <w:tc>
          <w:tcPr>
            <w:tcW w:type="dxa" w:w="1928"/>
            <w:shd w:fill="1E52F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Custo total</w:t>
            </w:r>
          </w:p>
        </w:tc>
        <w:tc>
          <w:tcPr>
            <w:tcW w:type="dxa" w:w="1928"/>
            <w:shd w:fill="1E52F5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Origem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Gerenciamento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584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14.9%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R$ 3.434.040,00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Estimativa Cartesian (equipe enxuta ~R$31 mil/mes; projetos R$380k e grua+cremalheira R$400k a preco de mercado; 30 meses, centro confinado)</w:t>
            </w:r>
          </w:p>
        </w:tc>
      </w:tr>
      <w:tr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Mov. Terra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0.8%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R$ 188.095,00</w:t>
            </w:r>
          </w:p>
        </w:tc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Projeto (1 subsolo, centro confinado) + Estimativa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Infraestrutura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293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7.5%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R$ 1.721.124,00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Projeto estrutural (estacas+blocos; contencao por PAREDE DIAFRAGMA) + estimativa de fundacao</w:t>
            </w:r>
          </w:p>
        </w:tc>
      </w:tr>
      <w:tr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Supraestrutura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786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20.0%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R$ 4.617.414,00</w:t>
            </w:r>
          </w:p>
        </w:tc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Projeto estrutural (laje nao protendida; fck 40 MPa, agressividade III) — revisao estrutural pendente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Alvenaria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97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R$ 570.416,00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Validacao BIM (100% bloco ceramico, sem drywall; area real do modelo OSPA)</w:t>
            </w:r>
          </w:p>
        </w:tc>
      </w:tr>
      <w:tr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Impermeabilização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80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2.0%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R$ 470.100,00</w:t>
            </w:r>
          </w:p>
        </w:tc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Estimativa Cartesian (~0,45 m2/m2 AC, 1 subsolo)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Instalações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379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9.7%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R$ 2.229.040,00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Projeto (eletrico Premiere: BT 400A, medicao centralizada; hidro; gas natural SCGas) + Estimativa</w:t>
            </w:r>
          </w:p>
        </w:tc>
      </w:tr>
      <w:tr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Sist. Especiais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185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4.7%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R$ 1.088.450,00</w:t>
            </w:r>
          </w:p>
        </w:tc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Projeto (2 elevadores TKE; escada enclausurada ventilada, sem pressurizacao) + allowance gerador 12 kVA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Climatização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64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1.6%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R$ 376.680,00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Estimativa Cartesian (split individual M-A)</w:t>
            </w:r>
          </w:p>
        </w:tc>
      </w:tr>
      <w:tr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Rev. Int. Parede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129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3.3%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R$ 757.070,00</w:t>
            </w:r>
          </w:p>
        </w:tc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Validacao BIM (area de parede revestida ~11.534 m2)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Teto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97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2.5%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R$ 569.195,00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Validacao BIM (forro gesso ~5.334 m2 + ripado de madeira ~980 m2)</w:t>
            </w:r>
          </w:p>
        </w:tc>
      </w:tr>
      <w:tr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Pisos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194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5.0%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R$ 1.142.738,00</w:t>
            </w:r>
          </w:p>
        </w:tc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Validacao BIM (area-base de piso ~10.684 m2; acabamento M-A estimado)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Pintura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152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3.9%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R$ 893.057,00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Validacao BIM (area pintada de parede ~18.040 m2)</w:t>
            </w:r>
          </w:p>
        </w:tc>
      </w:tr>
      <w:tr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Esquadrias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325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8.3%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R$ 1.910.337,00</w:t>
            </w:r>
          </w:p>
        </w:tc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Estimativa Cartesian (aluminio + vidro M-A; quadro de esquadrias a detalhar)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Louças e Metais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0.5%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R$ 117.600,00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Estimativa Cartesian (M-A)</w:t>
            </w:r>
          </w:p>
        </w:tc>
      </w:tr>
      <w:tr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Fachada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209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5.3%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R$ 1.227.978,00</w:t>
            </w:r>
          </w:p>
        </w:tc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Validacao BIM (envelope real ~8.026 m2; textura/pintura acrilica, ~70 m balancim)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Complementares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235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6.0%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R$ 1.383.101,00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Estimativa Cartesian (lazer de cobertura: piscina + salao + academia + rooftop)</w:t>
            </w:r>
          </w:p>
        </w:tc>
      </w:tr>
      <w:tr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Imprevistos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58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1.5%</w:t>
            </w:r>
          </w:p>
        </w:tc>
        <w:tc>
          <w:tcPr>
            <w:tcW w:type="dxa" w:w="1928"/>
            <w:shd w:fill="F0F4F9"/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R$ 340.446,00</w:t>
            </w:r>
          </w:p>
        </w:tc>
        <w:tc>
          <w:tcPr>
            <w:tcW w:type="dxa" w:w="1928"/>
            <w:shd w:fill="F0F4F9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Padrao Cartesian 1,5%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TOTAL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3,919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100%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R$ 23.036.881,00</w:t>
            </w:r>
          </w:p>
        </w:tc>
        <w:tc>
          <w:tcPr>
            <w:tcW w:type="dxa" w:w="1928"/>
          </w:tcPr>
          <w:p>
            <w:r/>
          </w:p>
        </w:tc>
      </w:tr>
    </w:tbl>
    <w:p>
      <w:r>
        <w:rPr>
          <w:rFonts w:ascii="Calibri" w:hAnsi="Calibri"/>
          <w:b/>
          <w:i w:val="0"/>
          <w:sz w:val="22"/>
        </w:rPr>
        <w:t>Custo por unidade (35 UR):</w:t>
      </w:r>
      <w:r>
        <w:rPr>
          <w:rFonts w:ascii="Calibri" w:hAnsi="Calibri"/>
          <w:b w:val="0"/>
          <w:i w:val="0"/>
          <w:sz w:val="22"/>
        </w:rPr>
        <w:t xml:space="preserve"> R$ 658.196,60</w:t>
      </w:r>
    </w:p>
    <w:p>
      <w:pPr>
        <w:spacing w:before="240" w:after="100"/>
      </w:pPr>
      <w:r>
        <w:rPr>
          <w:rFonts w:ascii="Calibri" w:hAnsi="Calibri"/>
          <w:b/>
          <w:color w:val="0F1C4A"/>
          <w:sz w:val="32"/>
        </w:rPr>
        <w:t>Premissas comerciais e de prazo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CUB-SC adotado: R$ 3.064,10/m2 (Residencial Medio, SINDUSCON-SC, mai/2026). Custo total R$ 23.036.881,00 = ~7.519 CUB; obra = 1,28 CUB/m2.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Prazo de obra: 30 meses.</w:t>
      </w:r>
    </w:p>
    <w:p>
      <w:pPr>
        <w:spacing w:before="240" w:after="100"/>
      </w:pPr>
      <w:r>
        <w:rPr>
          <w:rFonts w:ascii="Calibri" w:hAnsi="Calibri"/>
          <w:b/>
          <w:color w:val="0F1C4A"/>
          <w:sz w:val="32"/>
        </w:rPr>
        <w:t>A validar / proximos passos</w:t>
      </w:r>
    </w:p>
    <w:p>
      <w:pPr>
        <w:pStyle w:val="ListBullet"/>
      </w:pPr>
      <w:r>
        <w:rPr>
          <w:rFonts w:ascii="Calibri" w:hAnsi="Calibri"/>
          <w:b/>
          <w:i w:val="0"/>
          <w:sz w:val="22"/>
        </w:rPr>
        <w:t>Revisao estrutural</w:t>
      </w:r>
      <w:r>
        <w:rPr>
          <w:rFonts w:ascii="Calibri" w:hAnsi="Calibri"/>
          <w:b w:val="0"/>
          <w:i w:val="0"/>
          <w:sz w:val="22"/>
        </w:rPr>
        <w:t xml:space="preserve"> (em curso): laje (sistema/espessura), fck 40 MPa, altura de fachada; quantitativo da parede diafragma.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Padrao de acabamento M-A (sem memorial) — louças/metais, pisos, esquadrias.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Quadro de esquadrias para fechar o macrogrupo (hoje por estimativa).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>VGV da viabilidade (R$ 16.000/m2 privativo) e premissa, nao pesquisa de mercado.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