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Análise Comparativa: Gran Royal vs Médias de Mercado</w:t>
      </w:r>
    </w:p>
    <w:p>
      <w:pPr>
        <w:jc w:val="center"/>
      </w:pPr>
      <w:r>
        <w:rPr>
          <w:color w:val="646464"/>
          <w:sz w:val="28"/>
        </w:rPr>
        <w:t>Orçamento Executivo - Revisão R01</w:t>
      </w:r>
    </w:p>
    <w:p>
      <w:r>
        <w:t>Data: 01/04/2026</w:t>
      </w:r>
    </w:p>
    <w:p/>
    <w:p>
      <w:pPr>
        <w:pStyle w:val="Heading1"/>
      </w:pPr>
      <w:r>
        <w:t>1. Resumo Executivo</w:t>
      </w:r>
    </w:p>
    <w:p>
      <w:r>
        <w:rPr>
          <w:b/>
        </w:rPr>
        <w:t xml:space="preserve">Projeto: </w:t>
      </w:r>
      <w:r>
        <w:t>Gran Royal - Grandezza Empreendimentos</w:t>
        <w:br/>
      </w:r>
      <w:r>
        <w:rPr>
          <w:b/>
        </w:rPr>
        <w:t xml:space="preserve">Área Construída: </w:t>
      </w:r>
      <w:r>
        <w:t>5.225,33 m²</w:t>
        <w:br/>
      </w:r>
      <w:r>
        <w:rPr>
          <w:b/>
        </w:rPr>
        <w:t xml:space="preserve">Pavimentos: </w:t>
      </w:r>
      <w:r>
        <w:t>23 pavimentos (subsolo + térreo + 2 pav + lazer + 15 tipos + cobertura + reserv.)</w:t>
        <w:br/>
      </w:r>
      <w:r>
        <w:rPr>
          <w:b/>
        </w:rPr>
        <w:t xml:space="preserve">Pé-direito: </w:t>
      </w:r>
      <w:r>
        <w:t>3,15m (típico alto padrão)</w:t>
        <w:br/>
      </w:r>
      <w:r>
        <w:rPr>
          <w:b/>
        </w:rPr>
        <w:t xml:space="preserve">Altura: </w:t>
      </w:r>
      <w:r>
        <w:t>~67m</w:t>
        <w:br/>
      </w:r>
      <w:r>
        <w:rPr>
          <w:b/>
        </w:rPr>
        <w:t xml:space="preserve">Valor Total: </w:t>
      </w:r>
      <w:r>
        <w:t>R$ 24.976.983,84</w:t>
        <w:br/>
      </w:r>
      <w:r>
        <w:rPr>
          <w:b/>
        </w:rPr>
        <w:t xml:space="preserve">R$/m²: </w:t>
      </w:r>
      <w:r>
        <w:t>R$ 4.779,98/m² (1,58 CUB/SC)</w:t>
        <w:br/>
      </w:r>
      <w:r>
        <w:rPr>
          <w:b/>
        </w:rPr>
        <w:t xml:space="preserve">Faixa de Mercado: </w:t>
      </w:r>
      <w:r>
        <w:t>R$ 3.338,00 - R$ 4.152,00/m²</w:t>
        <w:br/>
      </w:r>
    </w:p>
    <w:p>
      <w:r>
        <w:rPr>
          <w:b/>
          <w:color w:val="CC0000"/>
        </w:rPr>
        <w:t>⚠️ O orçamento está 15,1% acima da faixa superior do mercado para obras de referência.</w:t>
      </w:r>
    </w:p>
    <w:p>
      <w:r>
        <w:br w:type="page"/>
      </w:r>
    </w:p>
    <w:p>
      <w:pPr>
        <w:pStyle w:val="Heading1"/>
      </w:pPr>
      <w:r>
        <w:t>2. Análise Disciplinar - Desvios vs Médias de Mercado</w:t>
      </w:r>
    </w:p>
    <w:p>
      <w:r>
        <w:t>As disciplinas a seguir apresentam desvios significativos em relação às médias observadas em obras similares (residencial alto padrão, 15-25 pavimentos):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Disciplina</w:t>
            </w:r>
          </w:p>
        </w:tc>
        <w:tc>
          <w:tcPr>
            <w:tcW w:type="dxa" w:w="1728"/>
          </w:tcPr>
          <w:p>
            <w:r>
              <w:t>Gran Royal (R$/m²)</w:t>
            </w:r>
          </w:p>
        </w:tc>
        <w:tc>
          <w:tcPr>
            <w:tcW w:type="dxa" w:w="1728"/>
          </w:tcPr>
          <w:p>
            <w:r>
              <w:t>Mercado (R$/m²)</w:t>
            </w:r>
          </w:p>
        </w:tc>
        <w:tc>
          <w:tcPr>
            <w:tcW w:type="dxa" w:w="1728"/>
          </w:tcPr>
          <w:p>
            <w:r>
              <w:t>Desvio</w:t>
            </w:r>
          </w:p>
        </w:tc>
        <w:tc>
          <w:tcPr>
            <w:tcW w:type="dxa" w:w="1728"/>
          </w:tcPr>
          <w:p>
            <w:r>
              <w:t>Observação</w:t>
            </w:r>
          </w:p>
        </w:tc>
      </w:tr>
      <w:tr>
        <w:tc>
          <w:tcPr>
            <w:tcW w:type="dxa" w:w="1728"/>
          </w:tcPr>
          <w:p>
            <w:r>
              <w:t>Gerenciamento Técnico e Adm.</w:t>
            </w:r>
          </w:p>
        </w:tc>
        <w:tc>
          <w:tcPr>
            <w:tcW w:type="dxa" w:w="1728"/>
          </w:tcPr>
          <w:p>
            <w:r>
              <w:t>R$ 658.68</w:t>
            </w:r>
          </w:p>
        </w:tc>
        <w:tc>
          <w:tcPr>
            <w:tcW w:type="dxa" w:w="1728"/>
          </w:tcPr>
          <w:p>
            <w:r>
              <w:t>R$ 450-570</w:t>
            </w:r>
          </w:p>
        </w:tc>
        <w:tc>
          <w:tcPr>
            <w:tcW w:type="dxa" w:w="1728"/>
          </w:tcPr>
          <w:p>
            <w:r>
              <w:t>+15,6%</w:t>
            </w:r>
          </w:p>
        </w:tc>
        <w:tc>
          <w:tcPr>
            <w:tcW w:type="dxa" w:w="1728"/>
          </w:tcPr>
          <w:p>
            <w:r>
              <w:t>Acima da faixa superior</w:t>
            </w:r>
          </w:p>
        </w:tc>
      </w:tr>
      <w:tr>
        <w:tc>
          <w:tcPr>
            <w:tcW w:type="dxa" w:w="1728"/>
          </w:tcPr>
          <w:p>
            <w:r>
              <w:t>Paredes e Painéis</w:t>
            </w:r>
          </w:p>
        </w:tc>
        <w:tc>
          <w:tcPr>
            <w:tcW w:type="dxa" w:w="1728"/>
          </w:tcPr>
          <w:p>
            <w:r>
              <w:t>R$ 214.78</w:t>
            </w:r>
          </w:p>
        </w:tc>
        <w:tc>
          <w:tcPr>
            <w:tcW w:type="dxa" w:w="1728"/>
          </w:tcPr>
          <w:p>
            <w:r>
              <w:t>R$ 120-160</w:t>
            </w:r>
          </w:p>
        </w:tc>
        <w:tc>
          <w:tcPr>
            <w:tcW w:type="dxa" w:w="1728"/>
          </w:tcPr>
          <w:p>
            <w:r>
              <w:t>+34,2%</w:t>
            </w:r>
          </w:p>
        </w:tc>
        <w:tc>
          <w:tcPr>
            <w:tcW w:type="dxa" w:w="1728"/>
          </w:tcPr>
          <w:p>
            <w:r>
              <w:t>Grande volume de drywall</w:t>
            </w:r>
          </w:p>
        </w:tc>
      </w:tr>
      <w:tr>
        <w:tc>
          <w:tcPr>
            <w:tcW w:type="dxa" w:w="1728"/>
          </w:tcPr>
          <w:p>
            <w:r>
              <w:t>Hidrossanitária e Drenagem</w:t>
            </w:r>
          </w:p>
        </w:tc>
        <w:tc>
          <w:tcPr>
            <w:tcW w:type="dxa" w:w="1728"/>
          </w:tcPr>
          <w:p>
            <w:r>
              <w:t>R$ 163.65</w:t>
            </w:r>
          </w:p>
        </w:tc>
        <w:tc>
          <w:tcPr>
            <w:tcW w:type="dxa" w:w="1728"/>
          </w:tcPr>
          <w:p>
            <w:r>
              <w:t>R$ 110-145</w:t>
            </w:r>
          </w:p>
        </w:tc>
        <w:tc>
          <w:tcPr>
            <w:tcW w:type="dxa" w:w="1728"/>
          </w:tcPr>
          <w:p>
            <w:r>
              <w:t>+12,9%</w:t>
            </w:r>
          </w:p>
        </w:tc>
        <w:tc>
          <w:tcPr>
            <w:tcW w:type="dxa" w:w="1728"/>
          </w:tcPr>
          <w:p>
            <w:r>
              <w:t>Custo de ETE</w:t>
            </w:r>
          </w:p>
        </w:tc>
      </w:tr>
      <w:tr>
        <w:tc>
          <w:tcPr>
            <w:tcW w:type="dxa" w:w="1728"/>
          </w:tcPr>
          <w:p>
            <w:r>
              <w:t>Equipamentos Especiais</w:t>
            </w:r>
          </w:p>
        </w:tc>
        <w:tc>
          <w:tcPr>
            <w:tcW w:type="dxa" w:w="1728"/>
          </w:tcPr>
          <w:p>
            <w:r>
              <w:t>R$ 189.72</w:t>
            </w:r>
          </w:p>
        </w:tc>
        <w:tc>
          <w:tcPr>
            <w:tcW w:type="dxa" w:w="1728"/>
          </w:tcPr>
          <w:p>
            <w:r>
              <w:t>R$ 130-170</w:t>
            </w:r>
          </w:p>
        </w:tc>
        <w:tc>
          <w:tcPr>
            <w:tcW w:type="dxa" w:w="1728"/>
          </w:tcPr>
          <w:p>
            <w:r>
              <w:t>+11,6%</w:t>
            </w:r>
          </w:p>
        </w:tc>
        <w:tc>
          <w:tcPr>
            <w:tcW w:type="dxa" w:w="1728"/>
          </w:tcPr>
          <w:p>
            <w:r>
              <w:t>Acima da faixa superior</w:t>
            </w:r>
          </w:p>
        </w:tc>
      </w:tr>
      <w:tr>
        <w:tc>
          <w:tcPr>
            <w:tcW w:type="dxa" w:w="1728"/>
          </w:tcPr>
          <w:p>
            <w:r>
              <w:t>Climatização e Exaustão</w:t>
            </w:r>
          </w:p>
        </w:tc>
        <w:tc>
          <w:tcPr>
            <w:tcW w:type="dxa" w:w="1728"/>
          </w:tcPr>
          <w:p>
            <w:r>
              <w:t>R$ 68.85</w:t>
            </w:r>
          </w:p>
        </w:tc>
        <w:tc>
          <w:tcPr>
            <w:tcW w:type="dxa" w:w="1728"/>
          </w:tcPr>
          <w:p>
            <w:r>
              <w:t>R$ 40-60</w:t>
            </w:r>
          </w:p>
        </w:tc>
        <w:tc>
          <w:tcPr>
            <w:tcW w:type="dxa" w:w="1728"/>
          </w:tcPr>
          <w:p>
            <w:r>
              <w:t>+14,8%</w:t>
            </w:r>
          </w:p>
        </w:tc>
        <w:tc>
          <w:tcPr>
            <w:tcW w:type="dxa" w:w="1728"/>
          </w:tcPr>
          <w:p>
            <w:r>
              <w:t>Acima da faixa superior</w:t>
            </w:r>
          </w:p>
        </w:tc>
      </w:tr>
      <w:tr>
        <w:tc>
          <w:tcPr>
            <w:tcW w:type="dxa" w:w="1728"/>
          </w:tcPr>
          <w:p>
            <w:r>
              <w:t>Esquadrias, Vidros e Ferragens</w:t>
            </w:r>
          </w:p>
        </w:tc>
        <w:tc>
          <w:tcPr>
            <w:tcW w:type="dxa" w:w="1728"/>
          </w:tcPr>
          <w:p>
            <w:r>
              <w:t>R$ 468.27</w:t>
            </w:r>
          </w:p>
        </w:tc>
        <w:tc>
          <w:tcPr>
            <w:tcW w:type="dxa" w:w="1728"/>
          </w:tcPr>
          <w:p>
            <w:r>
              <w:t>R$ 290-330</w:t>
            </w:r>
          </w:p>
        </w:tc>
        <w:tc>
          <w:tcPr>
            <w:tcW w:type="dxa" w:w="1728"/>
          </w:tcPr>
          <w:p>
            <w:r>
              <w:t>+41,9%</w:t>
            </w:r>
          </w:p>
        </w:tc>
        <w:tc>
          <w:tcPr>
            <w:tcW w:type="dxa" w:w="1728"/>
          </w:tcPr>
          <w:p>
            <w:r>
              <w:t>⚠️ DESVIO CRÍTICO - Muita área de pele de vidro</w:t>
            </w:r>
          </w:p>
        </w:tc>
      </w:tr>
      <w:tr>
        <w:tc>
          <w:tcPr>
            <w:tcW w:type="dxa" w:w="1728"/>
          </w:tcPr>
          <w:p>
            <w:r>
              <w:t>Louças e Metais</w:t>
            </w:r>
          </w:p>
        </w:tc>
        <w:tc>
          <w:tcPr>
            <w:tcW w:type="dxa" w:w="1728"/>
          </w:tcPr>
          <w:p>
            <w:r>
              <w:t>R$ 43.80</w:t>
            </w:r>
          </w:p>
        </w:tc>
        <w:tc>
          <w:tcPr>
            <w:tcW w:type="dxa" w:w="1728"/>
          </w:tcPr>
          <w:p>
            <w:r>
              <w:t>R$ 28-34</w:t>
            </w:r>
          </w:p>
        </w:tc>
        <w:tc>
          <w:tcPr>
            <w:tcW w:type="dxa" w:w="1728"/>
          </w:tcPr>
          <w:p>
            <w:r>
              <w:t>+28,8%</w:t>
            </w:r>
          </w:p>
        </w:tc>
        <w:tc>
          <w:tcPr>
            <w:tcW w:type="dxa" w:w="1728"/>
          </w:tcPr>
          <w:p>
            <w:r>
              <w:t>Churrasqueiras contempladas neste item</w:t>
            </w:r>
          </w:p>
        </w:tc>
      </w:tr>
      <w:tr>
        <w:tc>
          <w:tcPr>
            <w:tcW w:type="dxa" w:w="1728"/>
          </w:tcPr>
          <w:p>
            <w:r>
              <w:t>Cobertura</w:t>
            </w:r>
          </w:p>
        </w:tc>
        <w:tc>
          <w:tcPr>
            <w:tcW w:type="dxa" w:w="1728"/>
          </w:tcPr>
          <w:p>
            <w:r>
              <w:t>R$ 14.20</w:t>
            </w:r>
          </w:p>
        </w:tc>
        <w:tc>
          <w:tcPr>
            <w:tcW w:type="dxa" w:w="1728"/>
          </w:tcPr>
          <w:p>
            <w:r>
              <w:t>R$ 3-9</w:t>
            </w:r>
          </w:p>
        </w:tc>
        <w:tc>
          <w:tcPr>
            <w:tcW w:type="dxa" w:w="1728"/>
          </w:tcPr>
          <w:p>
            <w:r>
              <w:t>+57,8%</w:t>
            </w:r>
          </w:p>
        </w:tc>
        <w:tc>
          <w:tcPr>
            <w:tcW w:type="dxa" w:w="1728"/>
          </w:tcPr>
          <w:p>
            <w:r>
              <w:t>⚠️ DESVIO CRÍTICO - Cobertura metálica, área maior em proporção</w:t>
            </w:r>
          </w:p>
        </w:tc>
      </w:tr>
      <w:tr>
        <w:tc>
          <w:tcPr>
            <w:tcW w:type="dxa" w:w="1728"/>
          </w:tcPr>
          <w:p>
            <w:r>
              <w:t>Fachada</w:t>
            </w:r>
          </w:p>
        </w:tc>
        <w:tc>
          <w:tcPr>
            <w:tcW w:type="dxa" w:w="1728"/>
          </w:tcPr>
          <w:p>
            <w:r>
              <w:t>R$ 473.08</w:t>
            </w:r>
          </w:p>
        </w:tc>
        <w:tc>
          <w:tcPr>
            <w:tcW w:type="dxa" w:w="1728"/>
          </w:tcPr>
          <w:p>
            <w:r>
              <w:t>R$ 170-240</w:t>
            </w:r>
          </w:p>
        </w:tc>
        <w:tc>
          <w:tcPr>
            <w:tcW w:type="dxa" w:w="1728"/>
          </w:tcPr>
          <w:p>
            <w:r>
              <w:t>+97,1%</w:t>
            </w:r>
          </w:p>
        </w:tc>
        <w:tc>
          <w:tcPr>
            <w:tcW w:type="dxa" w:w="1728"/>
          </w:tcPr>
          <w:p>
            <w:r>
              <w:t>⚠️ DESVIO CRÍTICO - ACM + LEDs de fachada</w:t>
            </w:r>
          </w:p>
        </w:tc>
      </w:tr>
      <w:tr>
        <w:tc>
          <w:tcPr>
            <w:tcW w:type="dxa" w:w="1728"/>
          </w:tcPr>
          <w:p>
            <w:r>
              <w:t>Serviços Complementares</w:t>
            </w:r>
          </w:p>
        </w:tc>
        <w:tc>
          <w:tcPr>
            <w:tcW w:type="dxa" w:w="1728"/>
          </w:tcPr>
          <w:p>
            <w:r>
              <w:t>R$ 248.00</w:t>
            </w:r>
          </w:p>
        </w:tc>
        <w:tc>
          <w:tcPr>
            <w:tcW w:type="dxa" w:w="1728"/>
          </w:tcPr>
          <w:p>
            <w:r>
              <w:t>R$ 230-280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Dentro da faixa</w:t>
            </w:r>
          </w:p>
        </w:tc>
      </w:tr>
      <w:tr>
        <w:tc>
          <w:tcPr>
            <w:tcW w:type="dxa" w:w="1728"/>
          </w:tcPr>
          <w:p>
            <w:r>
              <w:t>Imprevistos (3%)</w:t>
            </w:r>
          </w:p>
        </w:tc>
        <w:tc>
          <w:tcPr>
            <w:tcW w:type="dxa" w:w="1728"/>
          </w:tcPr>
          <w:p>
            <w:r>
              <w:t>R$ 120.04</w:t>
            </w:r>
          </w:p>
        </w:tc>
        <w:tc>
          <w:tcPr>
            <w:tcW w:type="dxa" w:w="1728"/>
          </w:tcPr>
          <w:p>
            <w:r>
              <w:t>R$ 50-55</w:t>
            </w:r>
          </w:p>
        </w:tc>
        <w:tc>
          <w:tcPr>
            <w:tcW w:type="dxa" w:w="1728"/>
          </w:tcPr>
          <w:p>
            <w:r>
              <w:t>+118,3%</w:t>
            </w:r>
          </w:p>
        </w:tc>
        <w:tc>
          <w:tcPr>
            <w:tcW w:type="dxa" w:w="1728"/>
          </w:tcPr>
          <w:p>
            <w:r>
              <w:t>⚠️ Percentual 3% aplicado (mercado usa 2%)</w:t>
            </w:r>
          </w:p>
        </w:tc>
      </w:tr>
    </w:tbl>
    <w:p>
      <w:r>
        <w:br w:type="page"/>
      </w:r>
    </w:p>
    <w:p>
      <w:pPr>
        <w:pStyle w:val="Heading1"/>
      </w:pPr>
      <w:r>
        <w:t>3. Principais Agravantes de Custo</w:t>
      </w:r>
    </w:p>
    <w:p>
      <w:pPr>
        <w:pStyle w:val="Heading2"/>
      </w:pPr>
      <w:r>
        <w:t>3.1. Fachada (+R$ 473,08/m² vs média R$ 170-240/m²)</w:t>
      </w:r>
    </w:p>
    <w:p>
      <w:r>
        <w:rPr>
          <w:b/>
        </w:rPr>
        <w:t>Desvio: +97,1%</w:t>
        <w:br/>
      </w:r>
    </w:p>
    <w:p>
      <w:r>
        <w:t>O custo de fachada está praticamente 100% acima da média de mercado. Principais causas:</w:t>
      </w:r>
    </w:p>
    <w:p>
      <w:pPr>
        <w:pStyle w:val="ListBullet"/>
      </w:pPr>
      <w:r>
        <w:t>Grande área de revestimento em ACM (alumínio composto)</w:t>
      </w:r>
    </w:p>
    <w:p>
      <w:pPr>
        <w:pStyle w:val="ListBullet"/>
      </w:pPr>
      <w:r>
        <w:t>Inclusão de sistema de LEDs na fachada (iluminação arquitetônica)</w:t>
      </w:r>
    </w:p>
    <w:p>
      <w:pPr>
        <w:pStyle w:val="ListBullet"/>
      </w:pPr>
      <w:r>
        <w:t>Complexidade geométrica (arquivo de detalhamento com 11 MB)</w:t>
      </w:r>
    </w:p>
    <w:p>
      <w:pPr>
        <w:pStyle w:val="Heading2"/>
      </w:pPr>
      <w:r>
        <w:t>3.2. Esquadrias, Vidros e Ferragens (+R$ 468,27/m² vs média R$ 290-330/m²)</w:t>
      </w:r>
    </w:p>
    <w:p>
      <w:r>
        <w:rPr>
          <w:b/>
        </w:rPr>
        <w:t>Desvio: +41,9%</w:t>
        <w:br/>
      </w:r>
    </w:p>
    <w:p>
      <w:r>
        <w:t>Causa principal:</w:t>
      </w:r>
    </w:p>
    <w:p>
      <w:pPr>
        <w:pStyle w:val="ListBullet"/>
      </w:pPr>
      <w:r>
        <w:t>Muita área de pele de vidro (fachada envidraçada)</w:t>
      </w:r>
    </w:p>
    <w:p>
      <w:pPr>
        <w:pStyle w:val="ListBullet"/>
      </w:pPr>
      <w:r>
        <w:t>Esquadrias de alto padrão</w:t>
      </w:r>
    </w:p>
    <w:p>
      <w:pPr>
        <w:pStyle w:val="Heading2"/>
      </w:pPr>
      <w:r>
        <w:t>3.3. Cobertura (+R$ 14,20/m² vs média R$ 3-9/m²)</w:t>
      </w:r>
    </w:p>
    <w:p>
      <w:r>
        <w:rPr>
          <w:b/>
        </w:rPr>
        <w:t>Desvio: +57,8%</w:t>
        <w:br/>
      </w:r>
    </w:p>
    <w:p>
      <w:r>
        <w:t>Causas:</w:t>
      </w:r>
    </w:p>
    <w:p>
      <w:pPr>
        <w:pStyle w:val="ListBullet"/>
      </w:pPr>
      <w:r>
        <w:t>Estrutura metálica (mais cara que laje)</w:t>
      </w:r>
    </w:p>
    <w:p>
      <w:pPr>
        <w:pStyle w:val="ListBullet"/>
      </w:pPr>
      <w:r>
        <w:t>Área de cobertura proporcionalmente maior devido às dimensões da torre</w:t>
      </w:r>
    </w:p>
    <w:p>
      <w:pPr>
        <w:pStyle w:val="Heading2"/>
      </w:pPr>
      <w:r>
        <w:t>3.4. Paredes e Painéis (+R$ 214,78/m² vs média R$ 120-160/m²)</w:t>
      </w:r>
    </w:p>
    <w:p>
      <w:r>
        <w:rPr>
          <w:b/>
        </w:rPr>
        <w:t>Desvio: +34,2%</w:t>
        <w:br/>
      </w:r>
    </w:p>
    <w:p>
      <w:r>
        <w:t>Causa:</w:t>
      </w:r>
    </w:p>
    <w:p>
      <w:pPr>
        <w:pStyle w:val="ListBullet"/>
      </w:pPr>
      <w:r>
        <w:t>Grande volume de paredes em drywall (mais caro que alvenaria convencional)</w:t>
      </w:r>
    </w:p>
    <w:p>
      <w:pPr>
        <w:pStyle w:val="Heading2"/>
      </w:pPr>
      <w:r>
        <w:t>3.5. Imprevistos e Contingências (+R$ 120,04/m² vs média R$ 50-55/m²)</w:t>
      </w:r>
    </w:p>
    <w:p>
      <w:r>
        <w:rPr>
          <w:b/>
        </w:rPr>
        <w:t>Desvio: +118,3%</w:t>
        <w:br/>
      </w:r>
    </w:p>
    <w:p>
      <w:r>
        <w:t>Causa:</w:t>
      </w:r>
    </w:p>
    <w:p>
      <w:pPr>
        <w:pStyle w:val="ListBullet"/>
      </w:pPr>
      <w:r>
        <w:t>Foi aplicado 3% de imprevistos (mercado aplica 2%)</w:t>
      </w:r>
    </w:p>
    <w:p>
      <w:pPr>
        <w:pStyle w:val="ListBullet"/>
      </w:pPr>
      <w:r>
        <w:t>Margem de segurança maior devido à complexidade da obra</w:t>
      </w:r>
    </w:p>
    <w:p>
      <w:r>
        <w:br w:type="page"/>
      </w:r>
    </w:p>
    <w:p>
      <w:pPr>
        <w:pStyle w:val="Heading1"/>
      </w:pPr>
      <w:r>
        <w:t>4. Conclusão</w:t>
      </w:r>
    </w:p>
    <w:p>
      <w:r>
        <w:t>O empreendimento Gran Royal apresenta custo total 15,1% acima da faixa superior de mercado devido a características específicas do projeto que o diferenciam de obras residenciais convencionais de alto padrão.</w:t>
      </w:r>
      <w:r>
        <w:br/>
        <w:br/>
      </w:r>
    </w:p>
    <w:p>
      <w:pPr>
        <w:pStyle w:val="Heading2"/>
      </w:pPr>
      <w:r>
        <w:t>Características Técnicas que Justificam o Custo:</w:t>
      </w:r>
    </w:p>
    <w:p>
      <w:pPr>
        <w:pStyle w:val="ListNumber"/>
      </w:pPr>
      <w:r>
        <w:t>Fachada de alta complexidade: ACM + sistema de iluminação LED integrado</w:t>
      </w:r>
    </w:p>
    <w:p>
      <w:pPr>
        <w:pStyle w:val="ListNumber"/>
      </w:pPr>
      <w:r>
        <w:t>Grande área de pele de vidro (fachada envidraçada)</w:t>
      </w:r>
    </w:p>
    <w:p>
      <w:pPr>
        <w:pStyle w:val="ListNumber"/>
      </w:pPr>
      <w:r>
        <w:t>Cobertura em estrutura metálica (não convencional)</w:t>
      </w:r>
    </w:p>
    <w:p>
      <w:pPr>
        <w:pStyle w:val="ListNumber"/>
      </w:pPr>
      <w:r>
        <w:t>Alto percentual de drywall (vs alvenaria convencional)</w:t>
      </w:r>
    </w:p>
    <w:p>
      <w:pPr>
        <w:pStyle w:val="ListNumber"/>
      </w:pPr>
      <w:r>
        <w:t>ETE (Estação de Tratamento de Esgoto) própria</w:t>
      </w:r>
    </w:p>
    <w:p>
      <w:pPr>
        <w:pStyle w:val="ListNumber"/>
      </w:pPr>
      <w:r>
        <w:t>Churrasqueiras inclusas no pacote de louças e metais</w:t>
      </w:r>
    </w:p>
    <w:p>
      <w:pPr>
        <w:pStyle w:val="ListNumber"/>
      </w:pPr>
      <w:r>
        <w:t>Margem de imprevistos 3% (mercado: 2%)</w:t>
      </w:r>
    </w:p>
    <w:p/>
    <w:p>
      <w:r>
        <w:rPr>
          <w:b/>
          <w:color w:val="006400"/>
          <w:sz w:val="24"/>
        </w:rPr>
        <w:t>✅ O orçamento é compatível com o padrão arquitetônico do empreendimento, que apresenta acabamentos e sistemas diferenciados em relação ao mercado médio.</w:t>
      </w:r>
    </w:p>
    <w:p/>
    <w:p>
      <w:r>
        <w:t>---</w:t>
      </w:r>
    </w:p>
    <w:p>
      <w:r>
        <w:t>Documento gerado por: Cartesiano (Assistente Técnico Cartesian Engenharia)</w:t>
      </w:r>
    </w:p>
    <w:p>
      <w:r>
        <w:t>Data: 01/04/2026 08:48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