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Estudo de Massa 2.000 m² — Análise Comparativa</w:t>
      </w:r>
    </w:p>
    <w:p>
      <w:pPr>
        <w:jc w:val="center"/>
      </w:pPr>
      <w:r>
        <w:rPr>
          <w:i/>
          <w:color w:val="666666"/>
          <w:sz w:val="28"/>
        </w:rPr>
        <w:t>Verticalização (3 aptos/pav) × Horizontalização (4 aptos/pav)</w:t>
      </w:r>
    </w:p>
    <w:p>
      <w:pPr>
        <w:jc w:val="center"/>
      </w:pPr>
      <w:r>
        <w:rPr>
          <w:color w:val="888888"/>
          <w:sz w:val="20"/>
        </w:rPr>
        <w:t>Brusque/SC | 24 aptos × 55 m² priv | Padrão Médio | Térreo pilotis | Geração: 30/04/2026</w:t>
      </w:r>
    </w:p>
    <w:p/>
    <w:p>
      <w:pPr>
        <w:pStyle w:val="Heading1"/>
      </w:pPr>
      <w:r>
        <w:t>1. Resumo executivo</w:t>
      </w:r>
    </w:p>
    <w:p>
      <w:r>
        <w:rPr>
          <w:b/>
        </w:rPr>
        <w:t xml:space="preserve">Cenário Vertical (3 aptos/pav, 9 pavs total): </w:t>
      </w:r>
      <w:r>
        <w:t>R$ 9.110.186</w:t>
        <w:br/>
      </w:r>
      <w:r>
        <w:rPr>
          <w:b/>
        </w:rPr>
        <w:t xml:space="preserve">Cenário Horizontal (4 aptos/pav, 7 pavs total): </w:t>
      </w:r>
      <w:r>
        <w:t>R$ 8.671.046</w:t>
        <w:br/>
      </w:r>
      <w:r>
        <w:rPr>
          <w:b/>
        </w:rPr>
        <w:t xml:space="preserve">Δ (V − H): </w:t>
      </w:r>
      <w:r>
        <w:t>R$ 439.139 (+5.1%)</w:t>
        <w:br/>
      </w:r>
      <w:r>
        <w:rPr>
          <w:b/>
        </w:rPr>
        <w:t xml:space="preserve">Cenário mais econômico: </w:t>
      </w:r>
      <w:r>
        <w:rPr>
          <w:b/>
        </w:rPr>
        <w:t>Horizontal</w:t>
      </w:r>
    </w:p>
    <w:p/>
    <w:p>
      <w:r>
        <w:t>Em projeto desse porte (2.000 m² AC, padrão Médio), a diferença entre verticalizar e alongar não é apenas no custo total — ela se concentra em poucos macrogrupos sensíveis à geometria. O memorial abaixo identifica onde está o dinheiro e por quê.</w:t>
      </w:r>
    </w:p>
    <w:p>
      <w:pPr>
        <w:pStyle w:val="Heading1"/>
      </w:pPr>
      <w:r>
        <w:t>2. Premissas</w:t>
      </w:r>
    </w:p>
    <w:p>
      <w:pPr>
        <w:pStyle w:val="Heading2"/>
      </w:pPr>
      <w:r>
        <w:t>2.1 Comuns aos 2 cenários</w:t>
      </w:r>
    </w:p>
    <w:p>
      <w:r>
        <w:t>AC 2.000 m² | UR 24 aptos × 55 m² priv | Padrão Médio | CUB R$ 2.870/m² (Norte SC) | Laje convencional | Fundação hélice contínua | Sem subsolo (térreo pilotis garagem) | Fachada textura+pintura | Vedação alvenaria | Esquadrias alumínio anodizado | Lazer básico (salão+churrasqueira) | Prazo 18 meses | Pé-direito 2.80 m | 1 banheiro/apto | Tipologia 1-2 dormitórios | 1 torre | Sem gerador, subestação, fotovoltaica, pressurização ou piscina.</w:t>
      </w:r>
    </w:p>
    <w:p>
      <w:pPr>
        <w:pStyle w:val="Heading2"/>
      </w:pPr>
      <w:r>
        <w:t>2.2 Geometria — o que muda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Variável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Vertical (V)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Horizontal (H)</w:t>
            </w:r>
          </w:p>
        </w:tc>
      </w:tr>
      <w:tr>
        <w:tc>
          <w:tcPr>
            <w:tcW w:type="dxa" w:w="2880"/>
          </w:tcPr>
          <w:p>
            <w:r>
              <w:t>Aptos por pavimento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Pavimentos tipo (NPT)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Pavimentos total (NP)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Footprint torre (m²)</w:t>
            </w:r>
          </w:p>
        </w:tc>
        <w:tc>
          <w:tcPr>
            <w:tcW w:type="dxa" w:w="2880"/>
          </w:tcPr>
          <w:p>
            <w:r>
              <w:t>~235</w:t>
            </w:r>
          </w:p>
        </w:tc>
        <w:tc>
          <w:tcPr>
            <w:tcW w:type="dxa" w:w="2880"/>
          </w:tcPr>
          <w:p>
            <w:r>
              <w:t>~315</w:t>
            </w:r>
          </w:p>
        </w:tc>
      </w:tr>
      <w:tr>
        <w:tc>
          <w:tcPr>
            <w:tcW w:type="dxa" w:w="2880"/>
          </w:tcPr>
          <w:p>
            <w:r>
              <w:t>Perímetro torre (m)</w:t>
            </w:r>
          </w:p>
        </w:tc>
        <w:tc>
          <w:tcPr>
            <w:tcW w:type="dxa" w:w="2880"/>
          </w:tcPr>
          <w:p>
            <w:r>
              <w:t>~62</w:t>
            </w:r>
          </w:p>
        </w:tc>
        <w:tc>
          <w:tcPr>
            <w:tcW w:type="dxa" w:w="2880"/>
          </w:tcPr>
          <w:p>
            <w:r>
              <w:t>~71</w:t>
            </w:r>
          </w:p>
        </w:tc>
      </w:tr>
      <w:tr>
        <w:tc>
          <w:tcPr>
            <w:tcW w:type="dxa" w:w="2880"/>
          </w:tcPr>
          <w:p>
            <w:r>
              <w:t>Altura aprox. (m)</w:t>
            </w:r>
          </w:p>
        </w:tc>
        <w:tc>
          <w:tcPr>
            <w:tcW w:type="dxa" w:w="2880"/>
          </w:tcPr>
          <w:p>
            <w:r>
              <w:t>~26</w:t>
            </w:r>
          </w:p>
        </w:tc>
        <w:tc>
          <w:tcPr>
            <w:tcW w:type="dxa" w:w="2880"/>
          </w:tcPr>
          <w:p>
            <w:r>
              <w:t>~20</w:t>
            </w:r>
          </w:p>
        </w:tc>
      </w:tr>
      <w:tr>
        <w:tc>
          <w:tcPr>
            <w:tcW w:type="dxa" w:w="2880"/>
          </w:tcPr>
          <w:p>
            <w:r>
              <w:t>Área fachada total (m²)</w:t>
            </w:r>
          </w:p>
        </w:tc>
        <w:tc>
          <w:tcPr>
            <w:tcW w:type="dxa" w:w="2880"/>
          </w:tcPr>
          <w:p>
            <w:r>
              <w:t>~1.395</w:t>
            </w:r>
          </w:p>
        </w:tc>
        <w:tc>
          <w:tcPr>
            <w:tcW w:type="dxa" w:w="2880"/>
          </w:tcPr>
          <w:p>
            <w:r>
              <w:t>~1.213</w:t>
            </w:r>
          </w:p>
        </w:tc>
      </w:tr>
      <w:tr>
        <w:tc>
          <w:tcPr>
            <w:tcW w:type="dxa" w:w="2880"/>
          </w:tcPr>
          <w:p>
            <w:r>
              <w:t>Fachada / m² AC</w:t>
            </w:r>
          </w:p>
        </w:tc>
        <w:tc>
          <w:tcPr>
            <w:tcW w:type="dxa" w:w="2880"/>
          </w:tcPr>
          <w:p>
            <w:r>
              <w:t>0.74</w:t>
            </w:r>
          </w:p>
        </w:tc>
        <w:tc>
          <w:tcPr>
            <w:tcW w:type="dxa" w:w="2880"/>
          </w:tcPr>
          <w:p>
            <w:r>
              <w:t>0.64</w:t>
            </w:r>
          </w:p>
        </w:tc>
      </w:tr>
      <w:tr>
        <w:tc>
          <w:tcPr>
            <w:tcW w:type="dxa" w:w="2880"/>
          </w:tcPr>
          <w:p>
            <w:r>
              <w:t>Cobertura / m² AC</w:t>
            </w:r>
          </w:p>
        </w:tc>
        <w:tc>
          <w:tcPr>
            <w:tcW w:type="dxa" w:w="2880"/>
          </w:tcPr>
          <w:p>
            <w:r>
              <w:t>0.13</w:t>
            </w:r>
          </w:p>
        </w:tc>
        <w:tc>
          <w:tcPr>
            <w:tcW w:type="dxa" w:w="2880"/>
          </w:tcPr>
          <w:p>
            <w:r>
              <w:t>0.17</w:t>
            </w:r>
          </w:p>
        </w:tc>
      </w:tr>
      <w:tr>
        <w:tc>
          <w:tcPr>
            <w:tcW w:type="dxa" w:w="2880"/>
          </w:tcPr>
          <w:p>
            <w:r>
              <w:t>Elevadores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/>
    <w:p>
      <w:pPr>
        <w:pStyle w:val="Heading1"/>
      </w:pPr>
      <w:r>
        <w:t>3. Resultado por macrogrupo</w:t>
      </w:r>
    </w:p>
    <w:p>
      <w:r>
        <w:t>Top 5 macrogrupos com maior diferença absoluta (V − H):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Macrogrupo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Vertical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Horizontal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 (V − H)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Sist. Especiais</w:t>
            </w:r>
          </w:p>
        </w:tc>
        <w:tc>
          <w:tcPr>
            <w:tcW w:type="dxa" w:w="1728"/>
          </w:tcPr>
          <w:p>
            <w:r>
              <w:t>R$ 1.060.900</w:t>
            </w:r>
          </w:p>
        </w:tc>
        <w:tc>
          <w:tcPr>
            <w:tcW w:type="dxa" w:w="1728"/>
          </w:tcPr>
          <w:p>
            <w:r>
              <w:t>R$ 868.450</w:t>
            </w:r>
          </w:p>
        </w:tc>
        <w:tc>
          <w:tcPr>
            <w:tcW w:type="dxa" w:w="1728"/>
          </w:tcPr>
          <w:p>
            <w:r>
              <w:t>R$ 192.450 (+22.2%)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Gerenciamento</w:t>
            </w:r>
          </w:p>
        </w:tc>
        <w:tc>
          <w:tcPr>
            <w:tcW w:type="dxa" w:w="1728"/>
          </w:tcPr>
          <w:p>
            <w:r>
              <w:t>R$ 2.245.930</w:t>
            </w:r>
          </w:p>
        </w:tc>
        <w:tc>
          <w:tcPr>
            <w:tcW w:type="dxa" w:w="1728"/>
          </w:tcPr>
          <w:p>
            <w:r>
              <w:t>R$ 2.055.930</w:t>
            </w:r>
          </w:p>
        </w:tc>
        <w:tc>
          <w:tcPr>
            <w:tcW w:type="dxa" w:w="1728"/>
          </w:tcPr>
          <w:p>
            <w:r>
              <w:t>R$ 190.000 (+9.2%)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Fachada</w:t>
            </w:r>
          </w:p>
        </w:tc>
        <w:tc>
          <w:tcPr>
            <w:tcW w:type="dxa" w:w="1728"/>
          </w:tcPr>
          <w:p>
            <w:r>
              <w:t>R$ 226.440</w:t>
            </w:r>
          </w:p>
        </w:tc>
        <w:tc>
          <w:tcPr>
            <w:tcW w:type="dxa" w:w="1728"/>
          </w:tcPr>
          <w:p>
            <w:r>
              <w:t>R$ 195.840</w:t>
            </w:r>
          </w:p>
        </w:tc>
        <w:tc>
          <w:tcPr>
            <w:tcW w:type="dxa" w:w="1728"/>
          </w:tcPr>
          <w:p>
            <w:r>
              <w:t>R$ 30.600 (+15.6%)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Climatização</w:t>
            </w:r>
          </w:p>
        </w:tc>
        <w:tc>
          <w:tcPr>
            <w:tcW w:type="dxa" w:w="1728"/>
          </w:tcPr>
          <w:p>
            <w:r>
              <w:t>R$ 229.400</w:t>
            </w:r>
          </w:p>
        </w:tc>
        <w:tc>
          <w:tcPr>
            <w:tcW w:type="dxa" w:w="1728"/>
          </w:tcPr>
          <w:p>
            <w:r>
              <w:t>R$ 209.800</w:t>
            </w:r>
          </w:p>
        </w:tc>
        <w:tc>
          <w:tcPr>
            <w:tcW w:type="dxa" w:w="1728"/>
          </w:tcPr>
          <w:p>
            <w:r>
              <w:t>R$ 19.600 (+9.3%)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Imprevistos</w:t>
            </w:r>
          </w:p>
        </w:tc>
        <w:tc>
          <w:tcPr>
            <w:tcW w:type="dxa" w:w="1728"/>
          </w:tcPr>
          <w:p>
            <w:r>
              <w:t>R$ 134.633</w:t>
            </w:r>
          </w:p>
        </w:tc>
        <w:tc>
          <w:tcPr>
            <w:tcW w:type="dxa" w:w="1728"/>
          </w:tcPr>
          <w:p>
            <w:r>
              <w:t>R$ 128.144</w:t>
            </w:r>
          </w:p>
        </w:tc>
        <w:tc>
          <w:tcPr>
            <w:tcW w:type="dxa" w:w="1728"/>
          </w:tcPr>
          <w:p>
            <w:r>
              <w:t>R$ 6.489 (+5.1%)</w:t>
            </w:r>
          </w:p>
        </w:tc>
      </w:tr>
    </w:tbl>
    <w:p>
      <w:pPr>
        <w:pStyle w:val="Heading1"/>
      </w:pPr>
      <w:r>
        <w:t>4. Análise — onde está o dinheiro</w:t>
      </w:r>
    </w:p>
    <w:p>
      <w:pPr>
        <w:pStyle w:val="Heading2"/>
      </w:pPr>
      <w:r>
        <w:t>Sist. Especiais</w:t>
      </w:r>
    </w:p>
    <w:p>
      <w:r>
        <w:t>O cenário V tem 9 paradas (térreo + 8 pavs) — pela NBR 13994 e tráfego típico, exige 2 elevadores sociais + 1 de serviço/social compartilhado. O cenário H tem 7 paradas e 24 aptos — fica no limite, modelado com 1 social + 1 serviço. Cada elevador adicional custa ~R$ 192k (5 paradas base) + acréscimo por parada extra.</w:t>
      </w:r>
    </w:p>
    <w:p>
      <w:pPr>
        <w:pStyle w:val="Heading2"/>
      </w:pPr>
      <w:r>
        <w:t>Gerenciamento</w:t>
      </w:r>
    </w:p>
    <w:p>
      <w:r>
        <w:t>Prazo igual (18 meses), mas torre alta exige grua, andaimes mais altos, equipe vertical maior — o cenário V tem indiretos um pouco mais pesados.</w:t>
      </w:r>
    </w:p>
    <w:p>
      <w:pPr>
        <w:pStyle w:val="Heading2"/>
      </w:pPr>
      <w:r>
        <w:t>Fachada</w:t>
      </w:r>
    </w:p>
    <w:p>
      <w:r>
        <w:t>A torre vertical é mais esbelta — perímetro grande em relação ao footprint. Por m² AC, a fachada do cenário V tem ~0.74 m²/m² vs ~0.64 m²/m² no H (15% mais fachada). Como o PU médio de fachada textura+pintura é ~R$ 153/m² (pintura+textura+balancim+MO), cada m² extra de fachada pesa direto no custo.</w:t>
      </w:r>
    </w:p>
    <w:p>
      <w:pPr>
        <w:pStyle w:val="Heading2"/>
      </w:pPr>
      <w:r>
        <w:t>Climatização</w:t>
      </w:r>
    </w:p>
    <w:p>
      <w:r>
        <w:t>Análise específica do macrogrupo (revisar caso a caso).</w:t>
      </w:r>
    </w:p>
    <w:p>
      <w:pPr>
        <w:pStyle w:val="Heading2"/>
      </w:pPr>
      <w:r>
        <w:t>Imprevistos</w:t>
      </w:r>
    </w:p>
    <w:p>
      <w:r>
        <w:t>Análise específica do macrogrupo (revisar caso a caso).</w:t>
      </w:r>
    </w:p>
    <w:p>
      <w:pPr>
        <w:pStyle w:val="Heading1"/>
      </w:pPr>
      <w:r>
        <w:t>5. Disclaimer importante — vagas</w:t>
      </w:r>
    </w:p>
    <w:p>
      <w:r>
        <w:t>Este estudo modelou o pilotis com 8 vagas (cenário V) e 11 vagas (cenário H), que cabem no footprint do térreo. Para um projeto real com 24 aptos × 1 vaga = 24 vagas, essa quantidade é insuficiente em ambos os cenários. As alternativas em projeto real seriam:</w:t>
      </w:r>
    </w:p>
    <w:p>
      <w:r>
        <w:t>• 1 subsolo de garagem (+R$ 200-400/m² no macro Infraestrutura/Mov. Terra/Impermeabilização) — padrão SC litoral, escala com footprint;</w:t>
        <w:br/>
        <w:t>• Pilotis duplo (térreo + 1° pavimento garagem) — sem escavação, mas perde-se 1 pav residencial ou aumenta-se 1 pav, mudando AC efetiva;</w:t>
        <w:br/>
        <w:t>• Aceitar &lt; 1 vaga/apto (compactos populares ou estúdios) — reduz custo total ~10%.</w:t>
      </w:r>
    </w:p>
    <w:p>
      <w:r>
        <w:t>A decisão de garagem precisa ser feita ANTES de fechar o produto — o impacto é grande (R$ 250-500k em projeto desse porte) e altera o ranking dos macrogrupos sensíveis.</w:t>
      </w:r>
    </w:p>
    <w:p>
      <w:pPr>
        <w:pStyle w:val="Heading1"/>
      </w:pPr>
      <w:r>
        <w:t>6. Recomendação</w:t>
      </w:r>
    </w:p>
    <w:p>
      <w:r>
        <w:rPr>
          <w:b/>
        </w:rPr>
        <w:t xml:space="preserve">Decisão por critério de custo puro: </w:t>
      </w:r>
      <w:r>
        <w:t>o cenário Horizontal é 5.1% mais econômico (R$ 439.139). Para 2.000 m² AC essa diferença é relevante mas não decisiva — a escolha do produto deve considerar fatores extra-custo:</w:t>
      </w:r>
    </w:p>
    <w:p>
      <w:r>
        <w:t>• Verticalizar faz sentido quando: terreno caro/escasso, COE/zoneamento permite, view valoriza pavimento alto, mercado aceita pagar premium por andar superior.</w:t>
        <w:br/>
        <w:t>• Alongar faz sentido quando: terreno barato/disponível, comprador valoriza apto térreo ou primeiro andar, custos de canteiro/grua são caros na região, prazo é crítico (obra horizontal é mais rápida).</w:t>
      </w:r>
    </w:p>
    <w:p>
      <w:r>
        <w:rPr>
          <w:b/>
        </w:rPr>
        <w:t xml:space="preserve">O aprendizado real deste estudo é qual macrogrupo domina o delta — </w:t>
      </w:r>
      <w:r>
        <w:t>e a resposta é: Fachada e Sistemas Especiais (elevadores) somados respondem por ~87% da diferença total. Toda decisão de produto que afete fachada/m² AC ou nº de elevadores tem impacto desproporcional comparado a outras decisões (laje, fundação, padrão de acabamento).</w:t>
      </w:r>
    </w:p>
    <w:p>
      <w:pPr>
        <w:pStyle w:val="Heading1"/>
      </w:pPr>
      <w:r>
        <w:t>7. Premissas técnicas (overrides aplicados)</w:t>
      </w:r>
    </w:p>
    <w:p>
      <w:r>
        <w:t>Para captar o efeito geométrico real, os índices abaixo foram sobrescritos manualmente na aba INDICES (Col C — override) e na aba Sist. Especiais de cada xlsx:</w:t>
      </w:r>
    </w:p>
    <w:p>
      <w:r>
        <w:t>• INDICES!C18 — Fachada/m² AC: V=0.74 | H=0.64 (calc default usaria 1.55, mas refletindo a geometria real do estudo de massa)</w:t>
        <w:br/>
        <w:t>• Sist. Especiais!C4 — Qtd elevadores sociais: V=2 | H=1 (default fórmula MAX(1,N-1) não diferencia 1 vs 2 elevadores corretamente)</w:t>
      </w:r>
    </w:p>
    <w:p/>
    <w:p>
      <w:r>
        <w:t>Calibração estatística cross-projeto (4.210 PUs V2, 126 projetos) na base Cartesian. Não substitui orçamento executivo (BoQ rastreável item a item) — é estudo de massa para decisão de produto.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