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402"/>
        <w:jc w:val="center"/>
      </w:pPr>
      <w:r>
        <w:rPr>
          <w:rFonts w:ascii="Calibri" w:hAnsi="Calibri"/>
          <w:b/>
          <w:color w:val="1F4E78"/>
          <w:sz w:val="48"/>
        </w:rPr>
        <w:t>MEMORIAL DESCRITIVO — NOW RESIDENCE</w:t>
      </w:r>
    </w:p>
    <w:p>
      <w:pPr>
        <w:spacing w:before="480"/>
        <w:jc w:val="center"/>
      </w:pPr>
      <w:r>
        <w:rPr>
          <w:rFonts w:ascii="Calibri" w:hAnsi="Calibri"/>
          <w:color w:val="2E75B6"/>
          <w:sz w:val="36"/>
        </w:rPr>
        <w:t>Edifício Residencial Multifamiliar</w:t>
      </w:r>
    </w:p>
    <w:p>
      <w:pPr>
        <w:spacing w:before="240"/>
        <w:jc w:val="center"/>
      </w:pPr>
      <w:r>
        <w:rPr>
          <w:rFonts w:ascii="Calibri" w:hAnsi="Calibri"/>
          <w:sz w:val="28"/>
        </w:rPr>
        <w:t>Rua Luiz Berlim, 123, Centro, Itajaí/SC</w:t>
      </w:r>
    </w:p>
    <w:p>
      <w:pPr>
        <w:spacing w:before="240"/>
        <w:jc w:val="center"/>
      </w:pPr>
      <w:r>
        <w:rPr>
          <w:rFonts w:ascii="Calibri" w:hAnsi="Calibri"/>
          <w:b/>
          <w:sz w:val="28"/>
        </w:rPr>
        <w:t>Cartesian Engenharia — Março 2026</w:t>
      </w:r>
    </w:p>
    <w:p>
      <w:r>
        <w:br w:type="page"/>
      </w:r>
    </w:p>
    <w:p>
      <w:pPr>
        <w:sectPr>
          <w:pgSz w:w="12240" w:h="15840"/>
          <w:pgMar w:top="1417" w:right="1134" w:bottom="1417" w:left="1134" w:header="720" w:footer="720" w:gutter="0"/>
          <w:cols w:space="720"/>
          <w:docGrid w:linePitch="360"/>
        </w:sectPr>
      </w:pPr>
    </w:p>
    <w:p>
      <w:pPr>
        <w:pStyle w:val="Heading2"/>
      </w:pPr>
      <w:r>
        <w:t>DADOS GERAIS DO EMPREENDIMENTO</w:t>
      </w:r>
    </w:p>
    <w:p>
      <w:r/>
      <w:r>
        <w:rPr>
          <w:b/>
        </w:rPr>
        <w:t>Identificação:</w:t>
      </w:r>
      <w:r/>
    </w:p>
    <w:p>
      <w:pPr>
        <w:pStyle w:val="ListBullet"/>
      </w:pPr>
      <w:r/>
      <w:r>
        <w:rPr>
          <w:b/>
        </w:rPr>
        <w:t>Empreendimento:</w:t>
      </w:r>
      <w:r>
        <w:t xml:space="preserve"> NOW Residence</w:t>
      </w:r>
    </w:p>
    <w:p>
      <w:pPr>
        <w:pStyle w:val="ListBullet"/>
      </w:pPr>
      <w:r/>
      <w:r>
        <w:rPr>
          <w:b/>
        </w:rPr>
        <w:t>Endereço:</w:t>
      </w:r>
      <w:r>
        <w:t xml:space="preserve"> Rua Luiz Berlim, nº 123, Centro, Itajaí/SC — CEP 88302-010</w:t>
      </w:r>
    </w:p>
    <w:p>
      <w:pPr>
        <w:pStyle w:val="ListBullet"/>
      </w:pPr>
      <w:r/>
      <w:r>
        <w:rPr>
          <w:b/>
        </w:rPr>
        <w:t>Proprietário:</w:t>
      </w:r>
      <w:r>
        <w:t xml:space="preserve"> Belli Empreendimentos Ltda. — CNPJ 76.323.427/0001-92</w:t>
      </w:r>
    </w:p>
    <w:p>
      <w:pPr>
        <w:pStyle w:val="ListBullet"/>
      </w:pPr>
      <w:r/>
      <w:r>
        <w:rPr>
          <w:b/>
        </w:rPr>
        <w:t>Autor do Projeto Arquitetônico:</w:t>
      </w:r>
      <w:r>
        <w:t xml:space="preserve"> Arq. Simon Martignone — CAU-SC A165367-9</w:t>
      </w:r>
    </w:p>
    <w:p>
      <w:pPr>
        <w:pStyle w:val="ListBullet"/>
      </w:pPr>
      <w:r/>
      <w:r>
        <w:rPr>
          <w:b/>
        </w:rPr>
        <w:t>Data do Projeto:</w:t>
      </w:r>
      <w:r>
        <w:t xml:space="preserve"> Setembro/2024 (Revisão R02)</w:t>
      </w:r>
    </w:p>
    <w:p>
      <w:r/>
      <w:r>
        <w:rPr>
          <w:b/>
        </w:rPr>
        <w:t>Características Gerais:</w:t>
      </w:r>
      <w:r/>
    </w:p>
    <w:p>
      <w:pPr>
        <w:pStyle w:val="ListBullet"/>
      </w:pPr>
      <w:r/>
      <w:r>
        <w:rPr>
          <w:b/>
        </w:rPr>
        <w:t>Área Total Construída:</w:t>
      </w:r>
      <w:r>
        <w:t xml:space="preserve"> 13.054,00 m²</w:t>
      </w:r>
    </w:p>
    <w:p>
      <w:pPr>
        <w:pStyle w:val="ListBullet"/>
      </w:pPr>
      <w:r/>
      <w:r>
        <w:rPr>
          <w:b/>
        </w:rPr>
        <w:t>Área Computável:</w:t>
      </w:r>
      <w:r>
        <w:t xml:space="preserve"> 8.244,00 m²</w:t>
      </w:r>
    </w:p>
    <w:p>
      <w:pPr>
        <w:pStyle w:val="ListBullet"/>
      </w:pPr>
      <w:r/>
      <w:r>
        <w:rPr>
          <w:b/>
        </w:rPr>
        <w:t>Número de Pavimentos:</w:t>
      </w:r>
      <w:r>
        <w:t xml:space="preserve"> 24 pavimentos (3 garagens subterrâneas + térreo + lazer + 17 pavimentos tipo + ático + cobertura)</w:t>
      </w:r>
    </w:p>
    <w:p>
      <w:pPr>
        <w:pStyle w:val="ListBullet"/>
      </w:pPr>
      <w:r/>
      <w:r>
        <w:rPr>
          <w:b/>
        </w:rPr>
        <w:t>Altura Aproximada:</w:t>
      </w:r>
      <w:r>
        <w:t xml:space="preserve"> 78,72 m</w:t>
      </w:r>
    </w:p>
    <w:p>
      <w:pPr>
        <w:pStyle w:val="ListBullet"/>
      </w:pPr>
      <w:r/>
      <w:r>
        <w:rPr>
          <w:b/>
        </w:rPr>
        <w:t>Pé-direito Pavimento Tipo:</w:t>
      </w:r>
      <w:r>
        <w:t xml:space="preserve"> 3,06 m (entre lajes)</w:t>
      </w:r>
    </w:p>
    <w:p>
      <w:pPr>
        <w:pStyle w:val="ListBullet"/>
      </w:pPr>
      <w:r/>
      <w:r>
        <w:rPr>
          <w:b/>
        </w:rPr>
        <w:t>Pé-direito Livre Mínimo:</w:t>
      </w:r>
      <w:r>
        <w:t xml:space="preserve"> 2,50 m</w:t>
      </w:r>
    </w:p>
    <w:p>
      <w:r/>
      <w:r>
        <w:rPr>
          <w:b/>
        </w:rPr>
        <w:t>Programa:</w:t>
      </w:r>
      <w:r/>
    </w:p>
    <w:p>
      <w:pPr>
        <w:pStyle w:val="ListBullet"/>
      </w:pPr>
      <w:r/>
      <w:r>
        <w:rPr>
          <w:b/>
        </w:rPr>
        <w:t>Unidades Residenciais:</w:t>
      </w:r>
      <w:r>
        <w:t xml:space="preserve"> 136 apartamentos distribuídos em 17 pavimentos tipo (8 unidades por andar)</w:t>
      </w:r>
    </w:p>
    <w:p>
      <w:pPr>
        <w:pStyle w:val="ListBullet"/>
      </w:pPr>
      <w:r/>
      <w:r>
        <w:rPr>
          <w:b/>
        </w:rPr>
        <w:t>Unidades Comerciais:</w:t>
      </w:r>
      <w:r>
        <w:t xml:space="preserve"> 2 salas comerciais no pavimento térreo (60,15 m² e 62,49 m²)</w:t>
      </w:r>
    </w:p>
    <w:p>
      <w:pPr>
        <w:pStyle w:val="ListBullet"/>
      </w:pPr>
      <w:r/>
      <w:r>
        <w:rPr>
          <w:b/>
        </w:rPr>
        <w:t>Vagas de Garagem:</w:t>
      </w:r>
      <w:r>
        <w:t xml:space="preserve"> Aproximadamente 110 vagas distribuídas em 3 subsolos (G1, G2 e G3)</w:t>
      </w:r>
    </w:p>
    <w:p>
      <w:pPr>
        <w:pStyle w:val="ListBullet"/>
      </w:pPr>
      <w:r/>
      <w:r>
        <w:rPr>
          <w:b/>
        </w:rPr>
        <w:t>Elevadores:</w:t>
      </w:r>
      <w:r>
        <w:t xml:space="preserve"> 3 elevadores (2 sociais + 1 de emergência)</w:t>
      </w:r>
    </w:p>
    <w:p>
      <w:r/>
      <w:r>
        <w:rPr>
          <w:b/>
        </w:rPr>
        <w:t>Tipologias dos Apartamentos:</w:t>
      </w:r>
      <w:r/>
    </w:p>
    <w:p>
      <w:pPr>
        <w:pStyle w:val="ListBullet"/>
      </w:pPr>
      <w:r/>
      <w:r>
        <w:rPr>
          <w:b/>
        </w:rPr>
        <w:t>Studios:</w:t>
      </w:r>
      <w:r>
        <w:t xml:space="preserve"> ~32 m² — 34 unidades</w:t>
      </w:r>
    </w:p>
    <w:p>
      <w:pPr>
        <w:pStyle w:val="ListBullet"/>
      </w:pPr>
      <w:r/>
      <w:r>
        <w:rPr>
          <w:b/>
        </w:rPr>
        <w:t>1 Dormitório:</w:t>
      </w:r>
      <w:r>
        <w:t xml:space="preserve"> ~39 a 40 m² — 51 unidades</w:t>
      </w:r>
    </w:p>
    <w:p>
      <w:pPr>
        <w:pStyle w:val="ListBullet"/>
      </w:pPr>
      <w:r/>
      <w:r>
        <w:rPr>
          <w:b/>
        </w:rPr>
        <w:t>2 Dormitórios:</w:t>
      </w:r>
      <w:r>
        <w:t xml:space="preserve"> ~45 m² — 17 unidades</w:t>
      </w:r>
    </w:p>
    <w:p>
      <w:pPr>
        <w:pStyle w:val="ListBullet"/>
      </w:pPr>
      <w:r/>
      <w:r>
        <w:rPr>
          <w:b/>
        </w:rPr>
        <w:t>2 Dormitórios com Suíte:</w:t>
      </w:r>
      <w:r>
        <w:t xml:space="preserve"> ~71 a 73 m² — 34 unidades</w:t>
      </w:r>
    </w:p>
    <w:p>
      <w:r/>
      <w:r>
        <w:rPr>
          <w:b/>
        </w:rPr>
        <w:t>Áreas de Lazer:</w:t>
      </w:r>
      <w:r/>
    </w:p>
    <w:p>
      <w:pPr>
        <w:pStyle w:val="ListBullet"/>
      </w:pPr>
      <w:r>
        <w:t>Academia (73,98 m²)</w:t>
      </w:r>
    </w:p>
    <w:p>
      <w:pPr>
        <w:pStyle w:val="ListBullet"/>
      </w:pPr>
      <w:r>
        <w:t>Sala de Jogos (49,71 m²)</w:t>
      </w:r>
    </w:p>
    <w:p>
      <w:pPr>
        <w:pStyle w:val="ListBullet"/>
      </w:pPr>
      <w:r>
        <w:t>Salão de Festas 1 (42,22 m²)</w:t>
      </w:r>
    </w:p>
    <w:p>
      <w:pPr>
        <w:pStyle w:val="ListBullet"/>
      </w:pPr>
      <w:r>
        <w:t>Salão de Festas 2 (32,66 m²)</w:t>
      </w:r>
    </w:p>
    <w:p>
      <w:pPr>
        <w:pStyle w:val="ListBullet"/>
      </w:pPr>
      <w:r>
        <w:t>Piscina (37,80 m²)</w:t>
      </w:r>
    </w:p>
    <w:p>
      <w:pPr>
        <w:pStyle w:val="ListBullet"/>
      </w:pPr>
      <w:r>
        <w:t>Deck (68,83 m²)</w:t>
      </w:r>
    </w:p>
    <w:p>
      <w:pPr>
        <w:pStyle w:val="ListBullet"/>
      </w:pPr>
      <w:r>
        <w:t>Espaço Zen (18,96 m²)</w:t>
      </w:r>
    </w:p>
    <w:p>
      <w:pPr>
        <w:pStyle w:val="ListBullet"/>
      </w:pPr>
      <w:r>
        <w:t>Brinquedoteca (18,52 m²)</w:t>
      </w:r>
    </w:p>
    <w:p>
      <w:pPr>
        <w:pStyle w:val="ListBullet"/>
      </w:pPr>
      <w:r>
        <w:t>Sala de Massagem (12,73 m²)</w:t>
      </w:r>
    </w:p>
    <w:p>
      <w:pPr>
        <w:pStyle w:val="ListBullet"/>
      </w:pPr>
      <w:r>
        <w:t>Sauna (16,38 m²)</w:t>
      </w:r>
    </w:p>
    <w:p>
      <w:pPr>
        <w:pStyle w:val="ListBullet"/>
      </w:pPr>
      <w:r>
        <w:t>Pet Place (80,74 m²)</w:t>
      </w:r>
    </w:p>
    <w:p>
      <w:pPr>
        <w:pStyle w:val="ListBullet"/>
      </w:pPr>
      <w:r>
        <w:t>Área de Crossfit (37,39 m²)</w:t>
      </w:r>
    </w:p>
    <w:p>
      <w:pPr>
        <w:pStyle w:val="ListBullet"/>
      </w:pPr>
      <w:r>
        <w:t>Playground (76,89 m²)</w:t>
      </w:r>
    </w:p>
    <w:p>
      <w:pPr>
        <w:pStyle w:val="Heading1"/>
      </w:pPr>
      <w:r>
        <w:t>1. INFRAESTRUTURA</w:t>
      </w:r>
    </w:p>
    <w:p>
      <w:r>
        <w:br w:type="page"/>
      </w:r>
    </w:p>
    <w:p>
      <w:pPr>
        <w:pStyle w:val="Heading2"/>
      </w:pPr>
      <w:r>
        <w:t>1.1 Serviços Preliminares</w:t>
      </w:r>
    </w:p>
    <w:p>
      <w:r/>
      <w:r>
        <w:rPr>
          <w:b/>
        </w:rPr>
        <w:t>Instalação de Canteiro:</w:t>
      </w:r>
      <w:r/>
    </w:p>
    <w:p>
      <w:pPr>
        <w:pStyle w:val="ListBullet"/>
      </w:pPr>
      <w:r>
        <w:t>Canteiro de obras dimensionado conforme NR-18, incluindo áreas de vivência, escritório, depósitos, vestiários e instalações sanitárias</w:t>
      </w:r>
    </w:p>
    <w:p>
      <w:pPr>
        <w:pStyle w:val="ListBullet"/>
      </w:pPr>
      <w:r>
        <w:t>Ligações provisórias de água, energia elétrica e esgoto</w:t>
      </w:r>
    </w:p>
    <w:p>
      <w:pPr>
        <w:pStyle w:val="ListBullet"/>
      </w:pPr>
      <w:r>
        <w:t>Tapumes e portões de acesso em chapas metálicas ou similares</w:t>
      </w:r>
    </w:p>
    <w:p>
      <w:r/>
      <w:r>
        <w:rPr>
          <w:b/>
        </w:rPr>
        <w:t>Limpeza do Terreno:</w:t>
      </w:r>
      <w:r/>
    </w:p>
    <w:p>
      <w:pPr>
        <w:pStyle w:val="ListBullet"/>
      </w:pPr>
      <w:r>
        <w:t>Remoção de vegetação rasteira, entulhos e materiais existentes</w:t>
      </w:r>
    </w:p>
    <w:p>
      <w:pPr>
        <w:pStyle w:val="ListBullet"/>
      </w:pPr>
      <w:r>
        <w:t>Execução de limpeza manual e mecanizada conforme necessário</w:t>
      </w:r>
    </w:p>
    <w:p>
      <w:r/>
      <w:r>
        <w:rPr>
          <w:b/>
        </w:rPr>
        <w:t>Demolições:</w:t>
      </w:r>
      <w:r/>
    </w:p>
    <w:p>
      <w:pPr>
        <w:pStyle w:val="ListBullet"/>
      </w:pPr>
      <w:r>
        <w:t>Demolição de edificações existentes no terreno, se aplicável</w:t>
      </w:r>
    </w:p>
    <w:p>
      <w:pPr>
        <w:pStyle w:val="ListBullet"/>
      </w:pPr>
      <w:r>
        <w:t>Remoção e destinação adequada de resíduos conforme legislação ambiental vigente</w:t>
      </w:r>
    </w:p>
    <w:p>
      <w:r/>
      <w:r>
        <w:rPr>
          <w:b/>
        </w:rPr>
        <w:t>Locação da Obra:</w:t>
      </w:r>
      <w:r/>
    </w:p>
    <w:p>
      <w:pPr>
        <w:pStyle w:val="ListBullet"/>
      </w:pPr>
      <w:r>
        <w:t>Locação topográfica com gabaritos em madeira ou metálicos</w:t>
      </w:r>
    </w:p>
    <w:p>
      <w:pPr>
        <w:pStyle w:val="ListBullet"/>
      </w:pPr>
      <w:r>
        <w:t>Marcação de eixos, níveis e alinhamentos conforme projeto arquitetônico e estrutural</w:t>
      </w:r>
    </w:p>
    <w:p>
      <w:pPr>
        <w:pStyle w:val="Heading2"/>
      </w:pPr>
      <w:r>
        <w:t>1.2 Movimento de Terra</w:t>
      </w:r>
    </w:p>
    <w:p>
      <w:r/>
      <w:r>
        <w:rPr>
          <w:b/>
        </w:rPr>
        <w:t>Escavação:</w:t>
      </w:r>
      <w:r/>
    </w:p>
    <w:p>
      <w:pPr>
        <w:pStyle w:val="ListBullet"/>
      </w:pPr>
      <w:r>
        <w:t>Escavação mecanizada para execução de 3 subsolos (G1, G2 e G3)</w:t>
      </w:r>
    </w:p>
    <w:p>
      <w:pPr>
        <w:pStyle w:val="ListBullet"/>
      </w:pPr>
      <w:r>
        <w:t>Profundidade estimada de escavação: ~10,00 m a partir do nível do térreo</w:t>
      </w:r>
    </w:p>
    <w:p>
      <w:pPr>
        <w:pStyle w:val="ListBullet"/>
      </w:pPr>
      <w:r>
        <w:t>Remoção e transporte de material escavado para bota-fora licenciado</w:t>
      </w:r>
    </w:p>
    <w:p>
      <w:pPr>
        <w:pStyle w:val="ListBullet"/>
      </w:pPr>
      <w:r>
        <w:t>Reaterro compactado nas áreas especificadas em projeto</w:t>
      </w:r>
    </w:p>
    <w:p>
      <w:r/>
      <w:r>
        <w:rPr>
          <w:b/>
        </w:rPr>
        <w:t>Contenção:</w:t>
      </w:r>
      <w:r/>
    </w:p>
    <w:p>
      <w:r/>
      <w:r>
        <w:rPr>
          <w:i/>
          <w:color w:val="D68C00"/>
        </w:rPr>
        <w:t>[SUGERIDO]</w:t>
      </w:r>
      <w:r>
        <w:t xml:space="preserve"> Sistema de contenção por estacas-raiz ou cortina atirantada, conforme sondagem e projeto geotécnico específico. Contenção provisória durante execução dos subsolos com escoramento metálico ou similares, garantindo estabilidade das edificações vizinhas.</w:t>
      </w:r>
    </w:p>
    <w:p>
      <w:pPr>
        <w:pStyle w:val="Heading2"/>
      </w:pPr>
      <w:r>
        <w:t>1.3 Fundações</w:t>
      </w:r>
    </w:p>
    <w:p>
      <w:r/>
      <w:r>
        <w:rPr>
          <w:b/>
        </w:rPr>
        <w:t>Sistema de Fundação:</w:t>
      </w:r>
      <w:r/>
    </w:p>
    <w:p>
      <w:r>
        <w:t>Estrutura mista em concreto armado e protendido, conforme projeto estrutural. Sistema de fundação profunda, tipo a ser definido conforme relatório de sondagem SPT (estacas hélice contínua, estacas escavadas, tubulões ou similares).</w:t>
      </w:r>
    </w:p>
    <w:p>
      <w:r/>
      <w:r>
        <w:rPr>
          <w:i/>
          <w:color w:val="D68C00"/>
        </w:rPr>
        <w:t>[SUGERIDO]</w:t>
      </w:r>
      <w:r>
        <w:t xml:space="preserve"> Fundações em estacas hélice contínua ou estacas escavadas de grande diâmetro, executadas conforme NBR 6122/2019. Blocos de coroamento em concreto armado fck ≥ 30 MPa, vigas baldrames interligando os blocos.</w:t>
      </w:r>
    </w:p>
    <w:p>
      <w:r/>
      <w:r>
        <w:rPr>
          <w:b/>
        </w:rPr>
        <w:t>Impermeabilização de Fundações:</w:t>
      </w:r>
      <w:r/>
    </w:p>
    <w:p>
      <w:pPr>
        <w:pStyle w:val="ListBullet"/>
      </w:pPr>
      <w:r>
        <w:t>Impermeabilização de blocos de fundação com argamassa impermeável ou manta asfáltica</w:t>
      </w:r>
    </w:p>
    <w:p>
      <w:pPr>
        <w:pStyle w:val="ListBullet"/>
      </w:pPr>
      <w:r>
        <w:t>Proteção mecânica conforme NBR 9575/2010</w:t>
      </w:r>
    </w:p>
    <w:p>
      <w:pPr>
        <w:pStyle w:val="Heading2"/>
      </w:pPr>
      <w:r>
        <w:t>1.4 Drenagem</w:t>
      </w:r>
    </w:p>
    <w:p>
      <w:r/>
      <w:r>
        <w:rPr>
          <w:b/>
        </w:rPr>
        <w:t>Drenagem Subterrânea:</w:t>
      </w:r>
      <w:r/>
    </w:p>
    <w:p>
      <w:r/>
      <w:r>
        <w:rPr>
          <w:i/>
          <w:color w:val="D68C00"/>
        </w:rPr>
        <w:t>[SUGERIDO]</w:t>
      </w:r>
      <w:r>
        <w:t xml:space="preserve"> Sistema de drenagem com tubos perfurados (tipo dreno francês) envolvidos em brita e manta geotêxtil, instalados ao longo do perímetro das contenções e fundações.</w:t>
      </w:r>
    </w:p>
    <w:p>
      <w:r/>
      <w:r>
        <w:rPr>
          <w:b/>
        </w:rPr>
        <w:t>Drenagem de Águas Pluviais:</w:t>
      </w:r>
      <w:r/>
    </w:p>
    <w:p>
      <w:pPr>
        <w:pStyle w:val="ListBullet"/>
      </w:pPr>
      <w:r>
        <w:t>Sistema de captação de águas pluviais em calhas, ralos e caixas sifonadas</w:t>
      </w:r>
    </w:p>
    <w:p>
      <w:pPr>
        <w:pStyle w:val="ListBullet"/>
      </w:pPr>
      <w:r>
        <w:t>Tubulação em PVC rígido série normal, diâmetros conforme projeto hidrossanitário</w:t>
      </w:r>
    </w:p>
    <w:p>
      <w:pPr>
        <w:pStyle w:val="ListBullet"/>
      </w:pPr>
      <w:r>
        <w:t>Ligação à rede pública de águas pluviais ou sistema de retenção/infiltração conforme legislação municipal</w:t>
      </w:r>
    </w:p>
    <w:p>
      <w:r/>
      <w:r>
        <w:rPr>
          <w:b/>
        </w:rPr>
        <w:t>Poço de Recalque:</w:t>
      </w:r>
      <w:r>
        <w:t xml:space="preserve"> </w:t>
      </w:r>
      <w:r>
        <w:rPr>
          <w:i/>
          <w:color w:val="D68C00"/>
        </w:rPr>
        <w:t>[SUGERIDO]</w:t>
      </w:r>
      <w:r/>
    </w:p>
    <w:p>
      <w:pPr>
        <w:pStyle w:val="ListBullet"/>
      </w:pPr>
      <w:r>
        <w:t>Poço de recalque nos subsolos com bombas submersíveis automáticas (duplas com sistema de redundância)</w:t>
      </w:r>
    </w:p>
    <w:p>
      <w:pPr>
        <w:pStyle w:val="ListBullet"/>
      </w:pPr>
      <w:r>
        <w:t>Capacidade dimensionada para drenagem de águas de infiltração e limpeza</w:t>
      </w:r>
    </w:p>
    <w:p>
      <w:pPr>
        <w:pStyle w:val="Heading1"/>
      </w:pPr>
      <w:r>
        <w:t>2. SUPERESTRUTURA</w:t>
      </w:r>
    </w:p>
    <w:p>
      <w:r>
        <w:br w:type="page"/>
      </w:r>
    </w:p>
    <w:p>
      <w:pPr>
        <w:pStyle w:val="Heading2"/>
      </w:pPr>
      <w:r>
        <w:t>2.1 Estrutura de Concreto</w:t>
      </w:r>
    </w:p>
    <w:p>
      <w:r/>
      <w:r>
        <w:rPr>
          <w:b/>
        </w:rPr>
        <w:t>Sistema Estrutural:</w:t>
      </w:r>
      <w:r/>
    </w:p>
    <w:p>
      <w:r>
        <w:t xml:space="preserve">Estrutura mista em </w:t>
      </w:r>
      <w:r>
        <w:rPr>
          <w:b/>
        </w:rPr>
        <w:t>concreto armado convencional e protendido</w:t>
      </w:r>
      <w:r>
        <w:t>, conforme projeto estrutural específico.</w:t>
      </w:r>
    </w:p>
    <w:p>
      <w:r/>
      <w:r>
        <w:rPr>
          <w:b/>
        </w:rPr>
        <w:t>Concreto:</w:t>
      </w:r>
      <w:r/>
    </w:p>
    <w:p>
      <w:pPr>
        <w:pStyle w:val="ListBullet"/>
      </w:pPr>
      <w:r>
        <w:t>Concreto usinado conforme NBR 12655/2022</w:t>
      </w:r>
    </w:p>
    <w:p>
      <w:pPr>
        <w:pStyle w:val="ListBullet"/>
      </w:pPr>
      <w:r>
        <w:t>Resistência característica (fck):</w:t>
      </w:r>
    </w:p>
    <w:p>
      <w:r>
        <w:t xml:space="preserve">  - Fundações e subsolos: fck ≥ 30 MPa</w:t>
      </w:r>
    </w:p>
    <w:p>
      <w:r>
        <w:t xml:space="preserve">  - Pilares: fck ≥ 35 MPa </w:t>
      </w:r>
      <w:r>
        <w:rPr>
          <w:i/>
          <w:color w:val="D68C00"/>
        </w:rPr>
        <w:t>[SUGERIDO]</w:t>
      </w:r>
      <w:r/>
    </w:p>
    <w:p>
      <w:r>
        <w:t xml:space="preserve">  - Vigas e lajes: fck ≥ 30 MPa</w:t>
      </w:r>
    </w:p>
    <w:p>
      <w:r>
        <w:t xml:space="preserve">  - Lajes protendidas: fck ≥ 35 MPa </w:t>
      </w:r>
      <w:r>
        <w:rPr>
          <w:i/>
          <w:color w:val="D68C00"/>
        </w:rPr>
        <w:t>[SUGERIDO]</w:t>
      </w:r>
      <w:r/>
    </w:p>
    <w:p>
      <w:pPr>
        <w:pStyle w:val="ListBullet"/>
      </w:pPr>
      <w:r>
        <w:t>Slump conforme especificação da estrutura e tipo de lançamento</w:t>
      </w:r>
    </w:p>
    <w:p>
      <w:pPr>
        <w:pStyle w:val="ListBullet"/>
      </w:pPr>
      <w:r>
        <w:t>Aditivos plastificantes, superplastificantes ou retardadores de pega conforme necessário</w:t>
      </w:r>
    </w:p>
    <w:p>
      <w:r/>
      <w:r>
        <w:rPr>
          <w:b/>
        </w:rPr>
        <w:t>Armadura:</w:t>
      </w:r>
      <w:r/>
    </w:p>
    <w:p>
      <w:pPr>
        <w:pStyle w:val="ListBullet"/>
      </w:pPr>
      <w:r>
        <w:t>Aço CA-50 e CA-60 conforme NBR 7480/2022</w:t>
      </w:r>
    </w:p>
    <w:p>
      <w:pPr>
        <w:pStyle w:val="ListBullet"/>
      </w:pPr>
      <w:r>
        <w:t>Barras e telas soldadas para armação de lajes, vigas e pilares</w:t>
      </w:r>
    </w:p>
    <w:p>
      <w:pPr>
        <w:pStyle w:val="ListBullet"/>
      </w:pPr>
      <w:r>
        <w:t>Proteção contra corrosão: cobrimento mínimo conforme NBR 6118/2023 (classe de agressividade ambiental II para Itajaí/SC — zona urbana próxima ao litoral)</w:t>
      </w:r>
    </w:p>
    <w:p>
      <w:r/>
      <w:r>
        <w:rPr>
          <w:b/>
        </w:rPr>
        <w:t>Formas:</w:t>
      </w:r>
      <w:r/>
    </w:p>
    <w:p>
      <w:r/>
      <w:r>
        <w:rPr>
          <w:i/>
          <w:color w:val="D68C00"/>
        </w:rPr>
        <w:t>[SUGERIDO]</w:t>
      </w:r>
      <w:r>
        <w:t xml:space="preserve"> Sistema de formas metálicas ou mistas (compensado plastificado + estrutura metálica) reutilizáveis, com desmoldante adequado.</w:t>
      </w:r>
    </w:p>
    <w:p>
      <w:r/>
      <w:r>
        <w:rPr>
          <w:b/>
        </w:rPr>
        <w:t>Quantitativos Estimados:</w:t>
      </w:r>
      <w:r>
        <w:t xml:space="preserve"> [BASEADO EM ÍNDICES PARAMÉTRICOS]</w:t>
      </w:r>
    </w:p>
    <w:p>
      <w:pPr>
        <w:pStyle w:val="ListBullet"/>
      </w:pPr>
      <w:r>
        <w:t>Volume de concreto: ~2.350 m³ (índice ~0,18 m³/m² AC)</w:t>
      </w:r>
    </w:p>
    <w:p>
      <w:pPr>
        <w:pStyle w:val="ListBullet"/>
      </w:pPr>
      <w:r>
        <w:t>Área de formas: ~15.650 m² (índice ~1,20 m²/m² AC)</w:t>
      </w:r>
    </w:p>
    <w:p>
      <w:pPr>
        <w:pStyle w:val="ListBullet"/>
      </w:pPr>
      <w:r>
        <w:t>Aço para armação: ~200 toneladas (índice ~85 kg/m³ concreto)</w:t>
      </w:r>
    </w:p>
    <w:p>
      <w:r/>
      <w:r>
        <w:rPr>
          <w:b/>
        </w:rPr>
        <w:t>Observação:</w:t>
      </w:r>
      <w:r>
        <w:t xml:space="preserve"> Quantitativos precisos devem ser extraídos do projeto estrutural executivo e relatórios do software de cálculo estrutural (TQS).</w:t>
      </w:r>
    </w:p>
    <w:p>
      <w:pPr>
        <w:pStyle w:val="Heading2"/>
      </w:pPr>
      <w:r>
        <w:t>2.2 Lajes</w:t>
      </w:r>
    </w:p>
    <w:p>
      <w:r/>
      <w:r>
        <w:rPr>
          <w:b/>
        </w:rPr>
        <w:t>Lajes dos Pavimentos Tipo:</w:t>
      </w:r>
      <w:r/>
    </w:p>
    <w:p>
      <w:pPr>
        <w:pStyle w:val="ListBullet"/>
      </w:pPr>
      <w:r>
        <w:t>Lajes maciças em concreto armado ou lajes protendidas, espessura média de 21 cm (conforme nomenclatura identificada no IFC estrutural)</w:t>
      </w:r>
    </w:p>
    <w:p>
      <w:pPr>
        <w:pStyle w:val="ListBullet"/>
      </w:pPr>
      <w:r>
        <w:t>Vãos e dimensionamento conforme projeto estrutural</w:t>
      </w:r>
    </w:p>
    <w:p>
      <w:r/>
      <w:r>
        <w:rPr>
          <w:b/>
        </w:rPr>
        <w:t>Lajes dos Subsolos e Térreo:</w:t>
      </w:r>
      <w:r/>
    </w:p>
    <w:p>
      <w:pPr>
        <w:pStyle w:val="ListBullet"/>
      </w:pPr>
      <w:r>
        <w:t>Lajes maciças em concreto armado, espessura variável conforme cargas e vãos</w:t>
      </w:r>
    </w:p>
    <w:p>
      <w:r/>
      <w:r>
        <w:rPr>
          <w:b/>
        </w:rPr>
        <w:t>Lajes de Cobertura:</w:t>
      </w:r>
      <w:r/>
    </w:p>
    <w:p>
      <w:pPr>
        <w:pStyle w:val="ListBullet"/>
      </w:pPr>
      <w:r>
        <w:t>Laje impermeabilizada com sistema de captação de águas pluviais</w:t>
      </w:r>
    </w:p>
    <w:p>
      <w:pPr>
        <w:pStyle w:val="Heading2"/>
      </w:pPr>
      <w:r>
        <w:t>2.3 Vigas e Pilares</w:t>
      </w:r>
    </w:p>
    <w:p>
      <w:r/>
      <w:r>
        <w:rPr>
          <w:b/>
        </w:rPr>
        <w:t>Vigas:</w:t>
      </w:r>
      <w:r/>
    </w:p>
    <w:p>
      <w:pPr>
        <w:pStyle w:val="ListBullet"/>
      </w:pPr>
      <w:r>
        <w:t>Vigas em concreto armado, seções retangulares típicas 30 cm × 60 cm (conforme nomenclatura identificada no IFC)</w:t>
      </w:r>
    </w:p>
    <w:p>
      <w:pPr>
        <w:pStyle w:val="ListBullet"/>
      </w:pPr>
      <w:r>
        <w:t>Dimensões variáveis conforme projeto estrutural e carregamentos</w:t>
      </w:r>
    </w:p>
    <w:p>
      <w:r/>
      <w:r>
        <w:rPr>
          <w:b/>
        </w:rPr>
        <w:t>Pilares:</w:t>
      </w:r>
      <w:r/>
    </w:p>
    <w:p>
      <w:pPr>
        <w:pStyle w:val="ListBullet"/>
      </w:pPr>
      <w:r>
        <w:t>Pilares em concreto armado, seções retangulares típicas 20 cm × 120 cm (conforme nomenclatura identificada no IFC)</w:t>
      </w:r>
    </w:p>
    <w:p>
      <w:pPr>
        <w:pStyle w:val="ListBullet"/>
      </w:pPr>
      <w:r>
        <w:t>Seções variáveis ao longo da altura, conforme projeto estrutural</w:t>
      </w:r>
    </w:p>
    <w:p>
      <w:r/>
      <w:r>
        <w:rPr>
          <w:b/>
        </w:rPr>
        <w:t>Observação:</w:t>
      </w:r>
      <w:r>
        <w:t xml:space="preserve"> Dimensões exatas, posicionamento e detalhamento conforme projeto estrutural executivo.</w:t>
      </w:r>
    </w:p>
    <w:p>
      <w:pPr>
        <w:pStyle w:val="Heading1"/>
      </w:pPr>
      <w:r>
        <w:t>3. PAREDES E VEDAÇÕES</w:t>
      </w:r>
    </w:p>
    <w:p>
      <w:r>
        <w:br w:type="page"/>
      </w:r>
    </w:p>
    <w:p>
      <w:pPr>
        <w:pStyle w:val="Heading2"/>
      </w:pPr>
      <w:r>
        <w:t>3.1 Alvenaria Externa</w:t>
      </w:r>
    </w:p>
    <w:p>
      <w:r/>
      <w:r>
        <w:rPr>
          <w:b/>
        </w:rPr>
        <w:t>Paredes de Fachada:</w:t>
      </w:r>
      <w:r/>
    </w:p>
    <w:p>
      <w:pPr>
        <w:pStyle w:val="ListBullet"/>
      </w:pPr>
      <w:r>
        <w:t>Alvenaria de vedação em blocos cerâmicos de 6 furos, dimensões 14 × 19 × 29 cm, assentados com argamassa mista de cimento, cal e areia traço 1:2:8</w:t>
      </w:r>
    </w:p>
    <w:p>
      <w:pPr>
        <w:pStyle w:val="ListBullet"/>
      </w:pPr>
      <w:r>
        <w:t>Amarração nas estruturas de concreto conforme NBR 8545/2014</w:t>
      </w:r>
    </w:p>
    <w:p>
      <w:r/>
      <w:r>
        <w:rPr>
          <w:b/>
        </w:rPr>
        <w:t>Isolamento Termoacústico:</w:t>
      </w:r>
      <w:r>
        <w:t xml:space="preserve"> </w:t>
      </w:r>
      <w:r>
        <w:rPr>
          <w:i/>
          <w:color w:val="D68C00"/>
        </w:rPr>
        <w:t>[SUGERIDO]</w:t>
      </w:r>
      <w:r/>
    </w:p>
    <w:p>
      <w:pPr>
        <w:pStyle w:val="ListBullet"/>
      </w:pPr>
      <w:r>
        <w:t>Aplicação de mantas termoacústicas ou lã mineral em paredes externas quando especificado em projeto</w:t>
      </w:r>
    </w:p>
    <w:p>
      <w:pPr>
        <w:pStyle w:val="ListBullet"/>
      </w:pPr>
      <w:r>
        <w:t>Desempenho térmico e acústico conforme NBR 15575 (Norma de Desempenho)</w:t>
      </w:r>
    </w:p>
    <w:p>
      <w:pPr>
        <w:pStyle w:val="Heading2"/>
      </w:pPr>
      <w:r>
        <w:t>3.2 Alvenaria Interna</w:t>
      </w:r>
    </w:p>
    <w:p>
      <w:r/>
      <w:r>
        <w:rPr>
          <w:b/>
        </w:rPr>
        <w:t>Paredes Internas das Unidades:</w:t>
      </w:r>
      <w:r/>
    </w:p>
    <w:p>
      <w:r/>
      <w:r>
        <w:rPr>
          <w:i/>
          <w:color w:val="D68C00"/>
        </w:rPr>
        <w:t>[SUGERIDO]</w:t>
      </w:r>
      <w:r>
        <w:t xml:space="preserve"> Sistema de vedação vertical interna em </w:t>
      </w:r>
      <w:r>
        <w:rPr>
          <w:b/>
        </w:rPr>
        <w:t>drywall</w:t>
      </w:r>
      <w:r>
        <w:t xml:space="preserve"> (gesso acartonado) com perfis de aço galvanizado, espessura mínima de 10 cm para paredes de vedação e 15 cm para paredes hidráulicas (shaft molhado).</w:t>
      </w:r>
    </w:p>
    <w:p>
      <w:r/>
      <w:r>
        <w:rPr>
          <w:b/>
        </w:rPr>
        <w:t>Paredes de Áreas Comuns:</w:t>
      </w:r>
      <w:r/>
    </w:p>
    <w:p>
      <w:pPr>
        <w:pStyle w:val="ListBullet"/>
      </w:pPr>
      <w:r>
        <w:t>Alvenaria de blocos cerâmicos ou de concreto, espessura 9 cm ou 14 cm conforme projeto</w:t>
      </w:r>
    </w:p>
    <w:p>
      <w:pPr>
        <w:pStyle w:val="ListBullet"/>
      </w:pPr>
      <w:r>
        <w:t>Paredes de caixas de escada e shafts em blocos estruturais (bloco sical ou concreto) conforme exigências da IN 18 do CBMSC (Corpo de Bombeiros Militar de SC)</w:t>
      </w:r>
    </w:p>
    <w:p>
      <w:r/>
      <w:r>
        <w:rPr>
          <w:b/>
        </w:rPr>
        <w:t>Reforço Estrutural:</w:t>
      </w:r>
      <w:r/>
    </w:p>
    <w:p>
      <w:pPr>
        <w:pStyle w:val="ListBullet"/>
      </w:pPr>
      <w:r>
        <w:t>Vergas e contravergas em concreto armado ou pré-moldadas em todos os vãos de portas e janelas</w:t>
      </w:r>
    </w:p>
    <w:p>
      <w:pPr>
        <w:pStyle w:val="Heading2"/>
      </w:pPr>
      <w:r>
        <w:t>3.3 Divisórias Leves</w:t>
      </w:r>
    </w:p>
    <w:p>
      <w:r/>
      <w:r>
        <w:rPr>
          <w:i/>
          <w:color w:val="D68C00"/>
        </w:rPr>
        <w:t>[SUGERIDO]</w:t>
      </w:r>
      <w:r>
        <w:t xml:space="preserve"> Divisórias em drywall com isolamento acústico em lã mineral ou lã de PET, espessura 10 cm, para áreas comerciais e ambientes de lazer que requeiram flexibilidade de layout.</w:t>
      </w:r>
    </w:p>
    <w:p>
      <w:pPr>
        <w:pStyle w:val="Heading1"/>
      </w:pPr>
      <w:r>
        <w:t>4. ESQUADRIAS</w:t>
      </w:r>
    </w:p>
    <w:p>
      <w:r>
        <w:br w:type="page"/>
      </w:r>
    </w:p>
    <w:p>
      <w:pPr>
        <w:pStyle w:val="Heading2"/>
      </w:pPr>
      <w:r>
        <w:t>4.1 Esquadrias de Alumínio</w:t>
      </w:r>
    </w:p>
    <w:p>
      <w:r/>
      <w:r>
        <w:rPr>
          <w:b/>
        </w:rPr>
        <w:t>Janelas e Portas de Sacada:</w:t>
      </w:r>
      <w:r/>
    </w:p>
    <w:p>
      <w:r/>
      <w:r>
        <w:rPr>
          <w:i/>
          <w:color w:val="D68C00"/>
        </w:rPr>
        <w:t>[SUGERIDO]</w:t>
      </w:r>
      <w:r>
        <w:t xml:space="preserve"> Esquadrias em </w:t>
      </w:r>
      <w:r>
        <w:rPr>
          <w:b/>
        </w:rPr>
        <w:t>alumínio anodizado natural ou branco</w:t>
      </w:r>
      <w:r>
        <w:t>, linha de perfis de alta qualidade (linha 25, 30 ou superior), conforme NBR 10821.</w:t>
      </w:r>
    </w:p>
    <w:p>
      <w:pPr>
        <w:pStyle w:val="ListBullet"/>
      </w:pPr>
      <w:r/>
      <w:r>
        <w:rPr>
          <w:b/>
        </w:rPr>
        <w:t>Tipologias:</w:t>
      </w:r>
      <w:r/>
    </w:p>
    <w:p>
      <w:r>
        <w:t xml:space="preserve">  - Portas de correr de 2 ou 4 folhas para acesso às sacadas (vãos de 2,00 a 4,00 m)</w:t>
      </w:r>
    </w:p>
    <w:p>
      <w:r>
        <w:t xml:space="preserve">  - Janelas de correr de 2 folhas para dormitórios (vãos de 1,20 a 1,50 m)</w:t>
      </w:r>
    </w:p>
    <w:p>
      <w:r>
        <w:t xml:space="preserve">  - Janelas basculantes ou maxim-ar para banheiros e áreas de serviço (vãos de 0,60 a 0,80 m)</w:t>
      </w:r>
    </w:p>
    <w:p>
      <w:pPr>
        <w:pStyle w:val="ListBullet"/>
      </w:pPr>
      <w:r/>
      <w:r>
        <w:rPr>
          <w:b/>
        </w:rPr>
        <w:t>Vidros:</w:t>
      </w:r>
      <w:r/>
    </w:p>
    <w:p>
      <w:r>
        <w:t xml:space="preserve">  </w:t>
      </w:r>
      <w:r>
        <w:rPr>
          <w:i/>
          <w:color w:val="D68C00"/>
        </w:rPr>
        <w:t>[SUGERIDO]</w:t>
      </w:r>
      <w:r>
        <w:t xml:space="preserve"> Vidros laminados incolores espessura 6 mm (4+4 mm) para áreas de segurança ou vidros temperados incolores 6 mm para demais esquadrias, conforme NBR 7199 e NBR 14718.</w:t>
      </w:r>
    </w:p>
    <w:p>
      <w:pPr>
        <w:pStyle w:val="ListBullet"/>
      </w:pPr>
      <w:r/>
      <w:r>
        <w:rPr>
          <w:b/>
        </w:rPr>
        <w:t>Acessórios:</w:t>
      </w:r>
      <w:r/>
    </w:p>
    <w:p>
      <w:r>
        <w:t xml:space="preserve">  Fechaduras tipo cremonas, travas de segurança, puxadores e trilhos de qualidade comprovada.</w:t>
      </w:r>
    </w:p>
    <w:p>
      <w:r/>
      <w:r>
        <w:rPr>
          <w:b/>
        </w:rPr>
        <w:t>Observação:</w:t>
      </w:r>
      <w:r>
        <w:t xml:space="preserve"> Quantitativos detalhados de esquadrias pendentes de quadro de esquadrias completo do projeto arquitetônico. Estimativa preliminar: ~700 unidades de esquadrias.</w:t>
      </w:r>
    </w:p>
    <w:p>
      <w:pPr>
        <w:pStyle w:val="Heading2"/>
      </w:pPr>
      <w:r>
        <w:t>4.2 Portas de Madeira</w:t>
      </w:r>
    </w:p>
    <w:p>
      <w:r/>
      <w:r>
        <w:rPr>
          <w:b/>
        </w:rPr>
        <w:t>Portas de Entrada das Unidades:</w:t>
      </w:r>
      <w:r/>
    </w:p>
    <w:p>
      <w:r/>
      <w:r>
        <w:rPr>
          <w:i/>
          <w:color w:val="D68C00"/>
        </w:rPr>
        <w:t>[SUGERIDO]</w:t>
      </w:r>
      <w:r>
        <w:t xml:space="preserve"> Portas de entrada dos apartamentos em </w:t>
      </w:r>
      <w:r>
        <w:rPr>
          <w:b/>
        </w:rPr>
        <w:t>madeira maciça ou semi-oca revestida</w:t>
      </w:r>
      <w:r>
        <w:t>, acabamento em pintura ou laminado, dimensões 90 × 210 cm, com olho mágico, fechadura de segurança com cilindro tetra e dobradiças de 3½" em aço.</w:t>
      </w:r>
    </w:p>
    <w:p>
      <w:r/>
      <w:r>
        <w:rPr>
          <w:b/>
        </w:rPr>
        <w:t>Portas Internas das Unidades:</w:t>
      </w:r>
      <w:r/>
    </w:p>
    <w:p>
      <w:r/>
      <w:r>
        <w:rPr>
          <w:i/>
          <w:color w:val="D68C00"/>
        </w:rPr>
        <w:t>[SUGERIDO]</w:t>
      </w:r>
      <w:r>
        <w:t xml:space="preserve"> Portas internas em </w:t>
      </w:r>
      <w:r>
        <w:rPr>
          <w:b/>
        </w:rPr>
        <w:t>madeira semi-oca</w:t>
      </w:r>
      <w:r>
        <w:t xml:space="preserve"> ou compensado sarrafeado, dimensões padrão 70 × 210 cm ou 80 × 210 cm, acabamento em pintura esmalte branco ou laminado. Fechaduras tipo cilíndrica simples, dobradiças de 3" em aço cromado ou niquelado.</w:t>
      </w:r>
    </w:p>
    <w:p>
      <w:r/>
      <w:r>
        <w:rPr>
          <w:b/>
        </w:rPr>
        <w:t>Marcos e Guarnições:</w:t>
      </w:r>
      <w:r/>
    </w:p>
    <w:p>
      <w:r/>
      <w:r>
        <w:rPr>
          <w:i/>
          <w:color w:val="D68C00"/>
        </w:rPr>
        <w:t>[SUGERIDO]</w:t>
      </w:r>
      <w:r>
        <w:t xml:space="preserve"> Marcos em madeira maciça ou MDF, guarnições em madeira ou poliuretano, acabamento compatível com as portas.</w:t>
      </w:r>
    </w:p>
    <w:p>
      <w:pPr>
        <w:pStyle w:val="Heading2"/>
      </w:pPr>
      <w:r>
        <w:t>4.3 Esquadrias Metálicas e Gradis</w:t>
      </w:r>
    </w:p>
    <w:p>
      <w:r/>
      <w:r>
        <w:rPr>
          <w:b/>
        </w:rPr>
        <w:t>Portões de Garagem:</w:t>
      </w:r>
      <w:r/>
    </w:p>
    <w:p>
      <w:r/>
      <w:r>
        <w:rPr>
          <w:i/>
          <w:color w:val="D68C00"/>
        </w:rPr>
        <w:t>[SUGERIDO]</w:t>
      </w:r>
      <w:r>
        <w:t xml:space="preserve"> Portões basculantes ou seccionados motorizados em aço galvanizado e pintado, com acionamento automático por controle remoto e botoeira, dimensões conforme projeto.</w:t>
      </w:r>
    </w:p>
    <w:p>
      <w:r/>
      <w:r>
        <w:rPr>
          <w:b/>
        </w:rPr>
        <w:t>Portas Corta-Fogo:</w:t>
      </w:r>
      <w:r/>
    </w:p>
    <w:p>
      <w:r>
        <w:t>Portas corta-fogo P-90 em aço galvanizado, com barra antipânico, dimensões e localizações conforme projeto de prevenção e combate a incêndio (PPCI) e exigências do CBMSC.</w:t>
      </w:r>
    </w:p>
    <w:p>
      <w:r/>
      <w:r>
        <w:rPr>
          <w:b/>
        </w:rPr>
        <w:t>Gradis e Portões Sociais:</w:t>
      </w:r>
      <w:r/>
    </w:p>
    <w:p>
      <w:r/>
      <w:r>
        <w:rPr>
          <w:i/>
          <w:color w:val="D68C00"/>
        </w:rPr>
        <w:t>[SUGERIDO]</w:t>
      </w:r>
      <w:r>
        <w:t xml:space="preserve"> Gradis metálicos em aço tubular, pintura eletrostática, fixação em muros ou estrutura de concreto. Portão social em aço tubular com vidro, acabamento compatível com fachada.</w:t>
      </w:r>
    </w:p>
    <w:p>
      <w:pPr>
        <w:pStyle w:val="Heading2"/>
      </w:pPr>
      <w:r>
        <w:t>4.4 Guarda-Corpos</w:t>
      </w:r>
    </w:p>
    <w:p>
      <w:r/>
      <w:r>
        <w:rPr>
          <w:b/>
        </w:rPr>
        <w:t>Guarda-Corpos das Sacadas:</w:t>
      </w:r>
      <w:r/>
    </w:p>
    <w:p>
      <w:r>
        <w:t xml:space="preserve">Conforme quantitativo de fachada: </w:t>
      </w:r>
      <w:r>
        <w:rPr>
          <w:b/>
        </w:rPr>
        <w:t>800 metros lineares de guarda-corpo</w:t>
      </w:r>
      <w:r>
        <w:t>.</w:t>
      </w:r>
    </w:p>
    <w:p>
      <w:r/>
      <w:r>
        <w:rPr>
          <w:i/>
          <w:color w:val="D68C00"/>
        </w:rPr>
        <w:t>[SUGERIDO]</w:t>
      </w:r>
      <w:r>
        <w:t xml:space="preserve"> Sistema de guarda-corpo em </w:t>
      </w:r>
      <w:r>
        <w:rPr>
          <w:b/>
        </w:rPr>
        <w:t>vidro laminado temperado incolór</w:t>
      </w:r>
      <w:r>
        <w:t xml:space="preserve"> espessura 10 mm (5+5 mm), altura mínima de 1,05 m conforme NBR 14718, com fixação em perfis de aço inox ou alumínio anodizado. Corrimão superior em tubo de inox Ø 50 mm escovado.</w:t>
      </w:r>
    </w:p>
    <w:p>
      <w:r/>
      <w:r>
        <w:rPr>
          <w:b/>
        </w:rPr>
        <w:t>Guarda-Corpos de Escadas:</w:t>
      </w:r>
      <w:r/>
    </w:p>
    <w:p>
      <w:r/>
      <w:r>
        <w:rPr>
          <w:i/>
          <w:color w:val="D68C00"/>
        </w:rPr>
        <w:t>[SUGERIDO]</w:t>
      </w:r>
      <w:r>
        <w:t xml:space="preserve"> Guarda-corpo em aço tubular pintado ou inox com corrimão tubular, altura de 1,05 m, instalado em escadas de acesso aos pavimentos de lazer e circulação vertical de emergência.</w:t>
      </w:r>
    </w:p>
    <w:p>
      <w:pPr>
        <w:pStyle w:val="Heading1"/>
      </w:pPr>
      <w:r>
        <w:t>5. REVESTIMENTOS INTERNOS</w:t>
      </w:r>
    </w:p>
    <w:p>
      <w:r>
        <w:br w:type="page"/>
      </w:r>
    </w:p>
    <w:p>
      <w:pPr>
        <w:pStyle w:val="Heading2"/>
      </w:pPr>
      <w:r>
        <w:t>5.1 Pisos</w:t>
      </w:r>
    </w:p>
    <w:p>
      <w:r/>
      <w:r>
        <w:rPr>
          <w:b/>
        </w:rPr>
        <w:t>Áreas Privativas (Apartamentos):</w:t>
      </w:r>
      <w:r/>
    </w:p>
    <w:p>
      <w:r/>
      <w:r>
        <w:rPr>
          <w:i/>
          <w:color w:val="D68C00"/>
        </w:rPr>
        <w:t>[SUGERIDO]</w:t>
      </w:r>
      <w:r/>
    </w:p>
    <w:p>
      <w:pPr>
        <w:pStyle w:val="ListBullet"/>
      </w:pPr>
      <w:r/>
      <w:r>
        <w:rPr>
          <w:b/>
        </w:rPr>
        <w:t>Salas e Dormitórios:</w:t>
      </w:r>
      <w:r>
        <w:t xml:space="preserve"> Piso laminado de madeira (eucafloor ou equivalente), espessura 7 mm, classe AC4, instalado em sistema flutuante sobre manta acústica de EVA ou similar. Rodapés em MDF ou madeira 7 cm, acabamento compatível com o piso.</w:t>
      </w:r>
    </w:p>
    <w:p>
      <w:pPr>
        <w:pStyle w:val="ListBullet"/>
      </w:pPr>
      <w:r/>
      <w:r>
        <w:rPr>
          <w:b/>
        </w:rPr>
        <w:t>Cozinhas e Áreas de Serviço:</w:t>
      </w:r>
      <w:r>
        <w:t xml:space="preserve"> Porcelanato acetinado ou polido, formato 60 × 60 cm, padrão neutro (branco, bege ou cinza claro), PEI 4, assentado com argamassa colante AC-II ou AC-III. Rodapés do mesmo material, altura 7 cm.</w:t>
      </w:r>
    </w:p>
    <w:p>
      <w:pPr>
        <w:pStyle w:val="ListBullet"/>
      </w:pPr>
      <w:r/>
      <w:r>
        <w:rPr>
          <w:b/>
        </w:rPr>
        <w:t>Banheiros:</w:t>
      </w:r>
      <w:r>
        <w:t xml:space="preserve"> Porcelanato acetinado antiderrapante ou com textura, formato 45 × 45 cm ou 60 × 60 cm, cores neutras, PEI 4 ou superior. Rodapés do mesmo material, altura 7 cm.</w:t>
      </w:r>
    </w:p>
    <w:p>
      <w:r/>
      <w:r>
        <w:rPr>
          <w:b/>
        </w:rPr>
        <w:t>Áreas Comuns (Lazer e Circulação):</w:t>
      </w:r>
      <w:r/>
    </w:p>
    <w:p>
      <w:r/>
      <w:r>
        <w:rPr>
          <w:i/>
          <w:color w:val="D68C00"/>
        </w:rPr>
        <w:t>[SUGERIDO]</w:t>
      </w:r>
      <w:r/>
    </w:p>
    <w:p>
      <w:pPr>
        <w:pStyle w:val="ListBullet"/>
      </w:pPr>
      <w:r/>
      <w:r>
        <w:rPr>
          <w:b/>
        </w:rPr>
        <w:t>Hall de Entrada e Circulação dos Pavimentos:</w:t>
      </w:r>
      <w:r>
        <w:t xml:space="preserve"> Porcelanato polido de alta qualidade, formato 80 × 80 cm ou 60 × 120 cm, padrão mármore ou concreto, PEI 5, assentado com argamassa colante AC-III. Rodapés em porcelanato ou granito, altura 10 cm.</w:t>
      </w:r>
    </w:p>
    <w:p>
      <w:pPr>
        <w:pStyle w:val="ListBullet"/>
      </w:pPr>
      <w:r/>
      <w:r>
        <w:rPr>
          <w:b/>
        </w:rPr>
        <w:t>Áreas de Lazer (Academia, Salões, Sala de Jogos):</w:t>
      </w:r>
      <w:r>
        <w:t xml:space="preserve"> Porcelanato acetinado ou polido, formato 60 × 60 cm ou 80 × 80 cm, cores neutras, PEI 4 ou superior.</w:t>
      </w:r>
    </w:p>
    <w:p>
      <w:pPr>
        <w:pStyle w:val="ListBullet"/>
      </w:pPr>
      <w:r/>
      <w:r>
        <w:rPr>
          <w:b/>
        </w:rPr>
        <w:t>Deck da Piscina:</w:t>
      </w:r>
      <w:r>
        <w:t xml:space="preserve"> Deck em madeira plástica (wood plastic composite - WPC) ou madeira tratada autoclavada, fixação com parafusos em aço inox sobre estrutura metálica ou concreto.</w:t>
      </w:r>
    </w:p>
    <w:p>
      <w:pPr>
        <w:pStyle w:val="ListBullet"/>
      </w:pPr>
      <w:r/>
      <w:r>
        <w:rPr>
          <w:b/>
        </w:rPr>
        <w:t>Playground:</w:t>
      </w:r>
      <w:r>
        <w:t xml:space="preserve"> Piso emborrachado (EPDM) ou grama sintética sobre contrapiso regularizado, cores vivas e atóxicas.</w:t>
      </w:r>
    </w:p>
    <w:p>
      <w:r/>
      <w:r>
        <w:rPr>
          <w:b/>
        </w:rPr>
        <w:t>Garagens (G1, G2 e G3):</w:t>
      </w:r>
      <w:r/>
    </w:p>
    <w:p>
      <w:r/>
      <w:r>
        <w:rPr>
          <w:i/>
          <w:color w:val="D68C00"/>
        </w:rPr>
        <w:t>[SUGERIDO]</w:t>
      </w:r>
      <w:r>
        <w:t xml:space="preserve"> Piso em concreto desempenado mecânico com endurecedor superficial (pó de quartzo), acabamento alisado, juntas de dilatação a cada 4,00 m. Pintura demarcadora de vagas em tinta acrílica amarela ou branca.</w:t>
      </w:r>
    </w:p>
    <w:p>
      <w:pPr>
        <w:pStyle w:val="Heading2"/>
      </w:pPr>
      <w:r>
        <w:t>5.2 Revestimentos de Paredes</w:t>
      </w:r>
    </w:p>
    <w:p>
      <w:r/>
      <w:r>
        <w:rPr>
          <w:b/>
        </w:rPr>
        <w:t>Áreas Privativas (Apartamentos):</w:t>
      </w:r>
      <w:r/>
    </w:p>
    <w:p>
      <w:r/>
      <w:r>
        <w:rPr>
          <w:i/>
          <w:color w:val="D68C00"/>
        </w:rPr>
        <w:t>[SUGERIDO]</w:t>
      </w:r>
      <w:r/>
    </w:p>
    <w:p>
      <w:pPr>
        <w:pStyle w:val="ListBullet"/>
      </w:pPr>
      <w:r/>
      <w:r>
        <w:rPr>
          <w:b/>
        </w:rPr>
        <w:t>Salas e Dormitórios:</w:t>
      </w:r>
      <w:r>
        <w:t xml:space="preserve"> Paredes em drywall com massa corrida PVA, lixamento fino e pintura em tinta acrílica fosca ou acetinada em cores neutras (branco gelo, areia, palha).</w:t>
      </w:r>
    </w:p>
    <w:p>
      <w:pPr>
        <w:pStyle w:val="ListBullet"/>
      </w:pPr>
      <w:r/>
      <w:r>
        <w:rPr>
          <w:b/>
        </w:rPr>
        <w:t>Cozinhas:</w:t>
      </w:r>
      <w:r>
        <w:t xml:space="preserve"> Revestimento cerâmico ou porcelanato em toda a parede da pia/fogão, altura mínima 1,50 m, formato 30 × 60 cm ou similar, cores claras e neutras. Demais paredes em pintura acrílica acetinada lavável.</w:t>
      </w:r>
    </w:p>
    <w:p>
      <w:pPr>
        <w:pStyle w:val="ListBullet"/>
      </w:pPr>
      <w:r/>
      <w:r>
        <w:rPr>
          <w:b/>
        </w:rPr>
        <w:t>Banheiros:</w:t>
      </w:r>
      <w:r>
        <w:t xml:space="preserve"> Revestimento cerâmico ou porcelanato em todas as paredes até o teto (pé-direito completo), formato 30 × 60 cm, 45 × 90 cm ou similar, cores neutras (branco, bege, cinza). Peças de louças e metais com design contemporâneo.</w:t>
      </w:r>
    </w:p>
    <w:p>
      <w:r/>
      <w:r>
        <w:rPr>
          <w:b/>
        </w:rPr>
        <w:t>Áreas Comuns (Lazer e Circulação):</w:t>
      </w:r>
      <w:r/>
    </w:p>
    <w:p>
      <w:r/>
      <w:r>
        <w:rPr>
          <w:i/>
          <w:color w:val="D68C00"/>
        </w:rPr>
        <w:t>[SUGERIDO]</w:t>
      </w:r>
      <w:r/>
    </w:p>
    <w:p>
      <w:pPr>
        <w:pStyle w:val="ListBullet"/>
      </w:pPr>
      <w:r/>
      <w:r>
        <w:rPr>
          <w:b/>
        </w:rPr>
        <w:t>Hall de Entrada:</w:t>
      </w:r>
      <w:r>
        <w:t xml:space="preserve"> Revestimento em porcelanato tipo pedra natural, granito ou mármore, aplicado em paredes de destaque. Demais paredes em pintura acrílica acetinada ou texturizada.</w:t>
      </w:r>
    </w:p>
    <w:p>
      <w:pPr>
        <w:pStyle w:val="ListBullet"/>
      </w:pPr>
      <w:r/>
      <w:r>
        <w:rPr>
          <w:b/>
        </w:rPr>
        <w:t>Circulação dos Pavimentos:</w:t>
      </w:r>
      <w:r>
        <w:t xml:space="preserve"> Pintura acrílica acetinada em cores neutras (branco gelo, areia, cinza claro).</w:t>
      </w:r>
    </w:p>
    <w:p>
      <w:pPr>
        <w:pStyle w:val="ListBullet"/>
      </w:pPr>
      <w:r/>
      <w:r>
        <w:rPr>
          <w:b/>
        </w:rPr>
        <w:t>Áreas de Lazer:</w:t>
      </w:r>
      <w:r>
        <w:t xml:space="preserve"> Pintura acrílica acetinada lavável. Áreas molhadas (sauna, vestiários, WC) com revestimento cerâmico até o teto.</w:t>
      </w:r>
    </w:p>
    <w:p>
      <w:pPr>
        <w:pStyle w:val="ListBullet"/>
      </w:pPr>
      <w:r/>
      <w:r>
        <w:rPr>
          <w:b/>
        </w:rPr>
        <w:t>Piscina:</w:t>
      </w:r>
      <w:r>
        <w:t xml:space="preserve"> Revestimento em pastilha de vidro ou porcelana na cor azul claro ou branca, aplicada nas paredes e piso da piscina. Borda da piscina em granito ou porcelanato antiderrapante.</w:t>
      </w:r>
    </w:p>
    <w:p>
      <w:r/>
      <w:r>
        <w:rPr>
          <w:b/>
        </w:rPr>
        <w:t>Garagens:</w:t>
      </w:r>
      <w:r/>
    </w:p>
    <w:p>
      <w:r/>
      <w:r>
        <w:rPr>
          <w:i/>
          <w:color w:val="D68C00"/>
        </w:rPr>
        <w:t>[SUGERIDO]</w:t>
      </w:r>
      <w:r>
        <w:t xml:space="preserve"> Paredes em concreto aparente, com regularização de imperfeições, ou pintura acrílica em cor clara (branco, areia) sobre reboco.</w:t>
      </w:r>
    </w:p>
    <w:p>
      <w:pPr>
        <w:pStyle w:val="Heading2"/>
      </w:pPr>
      <w:r>
        <w:t>5.3 Forros</w:t>
      </w:r>
    </w:p>
    <w:p>
      <w:r/>
      <w:r>
        <w:rPr>
          <w:b/>
        </w:rPr>
        <w:t>Áreas Privativas (Apartamentos):</w:t>
      </w:r>
      <w:r/>
    </w:p>
    <w:p>
      <w:r/>
      <w:r>
        <w:rPr>
          <w:i/>
          <w:color w:val="D68C00"/>
        </w:rPr>
        <w:t>[SUGERIDO]</w:t>
      </w:r>
      <w:r>
        <w:t xml:space="preserve"> Forro em </w:t>
      </w:r>
      <w:r>
        <w:rPr>
          <w:b/>
        </w:rPr>
        <w:t>gesso acartonado (drywall)</w:t>
      </w:r>
      <w:r>
        <w:t xml:space="preserve"> liso, acabamento com massa corrida e pintura em tinta acrílica fosca branca. Rebaixos de gesso para instalação de iluminação embutida (spots de LED).</w:t>
      </w:r>
    </w:p>
    <w:p>
      <w:r/>
      <w:r>
        <w:rPr>
          <w:b/>
        </w:rPr>
        <w:t>Áreas Comuns (Lazer e Circulação):</w:t>
      </w:r>
      <w:r/>
    </w:p>
    <w:p>
      <w:r/>
      <w:r>
        <w:rPr>
          <w:i/>
          <w:color w:val="D68C00"/>
        </w:rPr>
        <w:t>[SUGERIDO]</w:t>
      </w:r>
      <w:r/>
    </w:p>
    <w:p>
      <w:pPr>
        <w:pStyle w:val="ListBullet"/>
      </w:pPr>
      <w:r/>
      <w:r>
        <w:rPr>
          <w:b/>
        </w:rPr>
        <w:t>Hall de Entrada:</w:t>
      </w:r>
      <w:r>
        <w:t xml:space="preserve"> Forro em gesso acartonado liso ou com detalhes em sancas e molduras, pintura acrílica fosca branca. Iluminação embutida e spots direcionáveis.</w:t>
      </w:r>
    </w:p>
    <w:p>
      <w:pPr>
        <w:pStyle w:val="ListBullet"/>
      </w:pPr>
      <w:r/>
      <w:r>
        <w:rPr>
          <w:b/>
        </w:rPr>
        <w:t>Circulação dos Pavimentos:</w:t>
      </w:r>
      <w:r>
        <w:t xml:space="preserve"> Forro em gesso acartonado liso, pintura acrílica fosca branca.</w:t>
      </w:r>
    </w:p>
    <w:p>
      <w:pPr>
        <w:pStyle w:val="ListBullet"/>
      </w:pPr>
      <w:r/>
      <w:r>
        <w:rPr>
          <w:b/>
        </w:rPr>
        <w:t>Áreas de Lazer:</w:t>
      </w:r>
      <w:r>
        <w:t xml:space="preserve"> Forro em gesso acartonado liso, pintura acrílica fosca branca. Áreas molhadas (sauna, vestiários) com forro em PVC ou similar resistente à umidade.</w:t>
      </w:r>
    </w:p>
    <w:p>
      <w:r/>
      <w:r>
        <w:rPr>
          <w:b/>
        </w:rPr>
        <w:t>Garagens:</w:t>
      </w:r>
      <w:r/>
    </w:p>
    <w:p>
      <w:r/>
      <w:r>
        <w:rPr>
          <w:i/>
          <w:color w:val="D68C00"/>
        </w:rPr>
        <w:t>[SUGERIDO]</w:t>
      </w:r>
      <w:r>
        <w:t xml:space="preserve"> Laje de concreto aparente, com regularização e pintura em tinta látex PVA branca ou cor clara.</w:t>
      </w:r>
    </w:p>
    <w:p>
      <w:pPr>
        <w:pStyle w:val="Heading1"/>
      </w:pPr>
      <w:r>
        <w:t>6. REVESTIMENTOS EXTERNOS</w:t>
      </w:r>
    </w:p>
    <w:p>
      <w:r>
        <w:br w:type="page"/>
      </w:r>
    </w:p>
    <w:p>
      <w:pPr>
        <w:pStyle w:val="Heading2"/>
      </w:pPr>
      <w:r>
        <w:t>6.1 Fachada</w:t>
      </w:r>
    </w:p>
    <w:p>
      <w:r>
        <w:t>Conforme quantitativo extraído do projeto executivo de fachada:</w:t>
      </w:r>
    </w:p>
    <w:p>
      <w:r/>
      <w:r>
        <w:rPr>
          <w:b/>
        </w:rPr>
        <w:t>Revestimentos Aplicados:</w:t>
      </w:r>
      <w:r/>
    </w:p>
    <w:p>
      <w:pPr>
        <w:pStyle w:val="ListBullet"/>
      </w:pPr>
      <w:r/>
      <w:r>
        <w:rPr>
          <w:b/>
        </w:rPr>
        <w:t>Tijolinho Aparente:</w:t>
      </w:r>
      <w:r>
        <w:t xml:space="preserve"> 890 m² (torre: 780 m² + base: 110 m²)</w:t>
      </w:r>
    </w:p>
    <w:p>
      <w:pPr>
        <w:pStyle w:val="ListBullet"/>
      </w:pPr>
      <w:r/>
      <w:r>
        <w:rPr>
          <w:b/>
        </w:rPr>
        <w:t>Ripado de Madeira ou Compósito:</w:t>
      </w:r>
      <w:r>
        <w:t xml:space="preserve"> 475 m² (torre: 293 m² + base: 182 m²)</w:t>
      </w:r>
    </w:p>
    <w:p>
      <w:pPr>
        <w:pStyle w:val="ListBullet"/>
      </w:pPr>
      <w:r/>
      <w:r>
        <w:rPr>
          <w:b/>
        </w:rPr>
        <w:t>Peitoril em Concreto ou Pedra:</w:t>
      </w:r>
      <w:r>
        <w:t xml:space="preserve"> 800 metros lineares (~880 m² de área equivalente)</w:t>
      </w:r>
    </w:p>
    <w:p>
      <w:r/>
      <w:r>
        <w:rPr>
          <w:i/>
          <w:color w:val="D68C00"/>
        </w:rPr>
        <w:t>[SUGERIDO]</w:t>
      </w:r>
      <w:r>
        <w:t xml:space="preserve"> </w:t>
      </w:r>
      <w:r>
        <w:rPr>
          <w:b/>
        </w:rPr>
        <w:t>Especificações Detalhadas:</w:t>
      </w:r>
      <w:r/>
    </w:p>
    <w:p>
      <w:pPr>
        <w:pStyle w:val="ListBullet"/>
      </w:pPr>
      <w:r/>
      <w:r>
        <w:rPr>
          <w:b/>
        </w:rPr>
        <w:t>Tijolinho Aparente:</w:t>
      </w:r>
      <w:r>
        <w:t xml:space="preserve"> Placas cerâmicas tipo tijolinho à vista, dimensões 5,5 × 24 cm, cor terracota ou bege, rejunte em cor compatível, fixação com argamassa colante ou sistema de fixação mecânica.</w:t>
      </w:r>
    </w:p>
    <w:p>
      <w:pPr>
        <w:pStyle w:val="ListBullet"/>
      </w:pPr>
      <w:r/>
      <w:r>
        <w:rPr>
          <w:b/>
        </w:rPr>
        <w:t>Ripado:</w:t>
      </w:r>
      <w:r>
        <w:t xml:space="preserve"> Ripas de madeira cumaru, ipê ou similar (tratada com verniz naval ou stain), ou ripado em material compósito tipo WPC (wood plastic composite), dimensões aproximadas 5 × 10 cm, fixação sobre estrutura metálica galvanizada.</w:t>
      </w:r>
    </w:p>
    <w:p>
      <w:pPr>
        <w:pStyle w:val="ListBullet"/>
      </w:pPr>
      <w:r/>
      <w:r>
        <w:rPr>
          <w:b/>
        </w:rPr>
        <w:t>Peitoril:</w:t>
      </w:r>
      <w:r>
        <w:t xml:space="preserve"> Peitoril em concreto pré-moldado impermeabilizado com pingadeira, ou em granito natural, acabamento polido ou apicoado, espessura mínima 3 cm, comprimento conforme vão.</w:t>
      </w:r>
    </w:p>
    <w:p>
      <w:r/>
      <w:r>
        <w:rPr>
          <w:b/>
        </w:rPr>
        <w:t>Demais Áreas de Fachada:</w:t>
      </w:r>
      <w:r/>
    </w:p>
    <w:p>
      <w:r/>
      <w:r>
        <w:rPr>
          <w:i/>
          <w:color w:val="D68C00"/>
        </w:rPr>
        <w:t>[SUGERIDO]</w:t>
      </w:r>
      <w:r>
        <w:t xml:space="preserve"> Revestimento em </w:t>
      </w:r>
      <w:r>
        <w:rPr>
          <w:b/>
        </w:rPr>
        <w:t>reboco desempenado e pintura acrílica texturizada ou lisa</w:t>
      </w:r>
      <w:r>
        <w:t xml:space="preserve"> em cor clara (branco, areia, bege, cinza claro), conforme projeto de fachada. Aplicação de tela de PVC sobre o emboço para evitar fissuras. Acabamento em textura acrílica ou grafiato.</w:t>
      </w:r>
    </w:p>
    <w:p>
      <w:r/>
      <w:r>
        <w:rPr>
          <w:b/>
        </w:rPr>
        <w:t>Estimativa de Área Total de Fachada (Método Paramétrico):</w:t>
      </w:r>
      <w:r/>
    </w:p>
    <w:p>
      <w:r>
        <w:t>~4.569 m² (índice de 0,35 m²fachada/m²AC aplicado sobre 13.054 m² AC).</w:t>
      </w:r>
    </w:p>
    <w:p>
      <w:r/>
      <w:r>
        <w:rPr>
          <w:b/>
        </w:rPr>
        <w:t>Observação:</w:t>
      </w:r>
      <w:r>
        <w:t xml:space="preserve"> Quantitativos finais e especificações detalhadas por zona da fachada devem ser confirmados com as pranchas de elevação e detalhamento do projeto executivo de fachada.</w:t>
      </w:r>
    </w:p>
    <w:p>
      <w:pPr>
        <w:pStyle w:val="Heading1"/>
      </w:pPr>
      <w:r>
        <w:t>7. IMPERMEABILIZAÇÃO</w:t>
      </w:r>
    </w:p>
    <w:p>
      <w:r>
        <w:br w:type="page"/>
      </w:r>
    </w:p>
    <w:p>
      <w:pPr>
        <w:pStyle w:val="Heading2"/>
      </w:pPr>
      <w:r>
        <w:t>7.1 Áreas Molhadas Internas</w:t>
      </w:r>
    </w:p>
    <w:p>
      <w:r/>
      <w:r>
        <w:rPr>
          <w:i/>
          <w:color w:val="D68C00"/>
        </w:rPr>
        <w:t>[SUGERIDO]</w:t>
      </w:r>
      <w:r>
        <w:t xml:space="preserve"> Impermeabilização de </w:t>
      </w:r>
      <w:r>
        <w:rPr>
          <w:b/>
        </w:rPr>
        <w:t>banheiros, cozinhas e áreas de serviço</w:t>
      </w:r>
      <w:r>
        <w:t xml:space="preserve"> com manta asfáltica ou sistema de impermeabilização flexível à base de cimento polimérico (tipo Vedacit Vedapren, Viapol Viaplus ou similar), aplicada sobre o contrapiso antes do assentamento do revestimento cerâmico.</w:t>
      </w:r>
    </w:p>
    <w:p>
      <w:pPr>
        <w:pStyle w:val="ListBullet"/>
      </w:pPr>
      <w:r>
        <w:t>Impermeabilização de pisos e paredes até altura mínima de 30 cm acima do piso acabado (áreas de box: até 1,80 m de altura)</w:t>
      </w:r>
    </w:p>
    <w:p>
      <w:pPr>
        <w:pStyle w:val="ListBullet"/>
      </w:pPr>
      <w:r>
        <w:t>Execução de teste de estanqueidade (prova d'água) por 72 horas antes do revestimento final</w:t>
      </w:r>
    </w:p>
    <w:p>
      <w:pPr>
        <w:pStyle w:val="Heading2"/>
      </w:pPr>
      <w:r>
        <w:t>7.2 Áreas Externas e de Lazer</w:t>
      </w:r>
    </w:p>
    <w:p>
      <w:r/>
      <w:r>
        <w:rPr>
          <w:b/>
        </w:rPr>
        <w:t>Piscina:</w:t>
      </w:r>
      <w:r/>
    </w:p>
    <w:p>
      <w:r/>
      <w:r>
        <w:rPr>
          <w:i/>
          <w:color w:val="D68C00"/>
        </w:rPr>
        <w:t>[SUGERIDO]</w:t>
      </w:r>
      <w:r>
        <w:t xml:space="preserve"> Impermeabilização com </w:t>
      </w:r>
      <w:r>
        <w:rPr>
          <w:b/>
        </w:rPr>
        <w:t>manta asfáltica aluminizada 3 mm ou 4 mm</w:t>
      </w:r>
      <w:r>
        <w:t xml:space="preserve"> aplicada sobre concreto estrutural, com proteção mecânica em argamassa armada. Aplicação de pastilhas ou revestimento cerâmico sobre a impermeabilização.</w:t>
      </w:r>
    </w:p>
    <w:p>
      <w:r/>
      <w:r>
        <w:rPr>
          <w:b/>
        </w:rPr>
        <w:t>Deck e Jardineiras:</w:t>
      </w:r>
      <w:r/>
    </w:p>
    <w:p>
      <w:r/>
      <w:r>
        <w:rPr>
          <w:i/>
          <w:color w:val="D68C00"/>
        </w:rPr>
        <w:t>[SUGERIDO]</w:t>
      </w:r>
      <w:r>
        <w:t xml:space="preserve"> Impermeabilização de jardineiras de fachada e deck da piscina com manta asfáltica aluminizada 3 mm, com proteção mecânica e sistema de drenagem adequado.</w:t>
      </w:r>
    </w:p>
    <w:p>
      <w:pPr>
        <w:pStyle w:val="Heading2"/>
      </w:pPr>
      <w:r>
        <w:t>7.3 Coberturas</w:t>
      </w:r>
    </w:p>
    <w:p>
      <w:r/>
      <w:r>
        <w:rPr>
          <w:b/>
        </w:rPr>
        <w:t>Laje de Cobertura:</w:t>
      </w:r>
      <w:r/>
    </w:p>
    <w:p>
      <w:r/>
      <w:r>
        <w:rPr>
          <w:i/>
          <w:color w:val="D68C00"/>
        </w:rPr>
        <w:t>[SUGERIDO]</w:t>
      </w:r>
      <w:r>
        <w:t xml:space="preserve"> Impermeabilização com </w:t>
      </w:r>
      <w:r>
        <w:rPr>
          <w:b/>
        </w:rPr>
        <w:t>manta asfálica aluminizada 4 mm</w:t>
      </w:r>
      <w:r>
        <w:t xml:space="preserve"> sobre laje de concreto regularizada, com caimento mínimo de 1% para ralos e calhas. Proteção mecânica em argamassa armada ou com piso elevado tipo deck.</w:t>
      </w:r>
    </w:p>
    <w:p>
      <w:r/>
      <w:r>
        <w:rPr>
          <w:b/>
        </w:rPr>
        <w:t>Reservatórios Superiores:</w:t>
      </w:r>
      <w:r/>
    </w:p>
    <w:p>
      <w:r/>
      <w:r>
        <w:rPr>
          <w:i/>
          <w:color w:val="D68C00"/>
        </w:rPr>
        <w:t>[SUGERIDO]</w:t>
      </w:r>
      <w:r>
        <w:t xml:space="preserve"> Impermeabilização interna de reservatórios de água potável com argamassa polimérica flexível atóxica (tipo Vedacit Vedapren Flex ou similar), com execução de teste de estanqueidade conforme NBR 9575/2010.</w:t>
      </w:r>
    </w:p>
    <w:p>
      <w:pPr>
        <w:pStyle w:val="Heading2"/>
      </w:pPr>
      <w:r>
        <w:t>7.4 Fundações e Subsolos</w:t>
      </w:r>
    </w:p>
    <w:p>
      <w:r>
        <w:t xml:space="preserve">Impermeabilização de fundações, blocos, vigas baldrames e paredes de contenção com </w:t>
      </w:r>
      <w:r>
        <w:rPr>
          <w:b/>
        </w:rPr>
        <w:t>manta asfáltica</w:t>
      </w:r>
      <w:r>
        <w:t xml:space="preserve"> ou </w:t>
      </w:r>
      <w:r>
        <w:rPr>
          <w:b/>
        </w:rPr>
        <w:t>argamassa impermeável rígida</w:t>
      </w:r>
      <w:r>
        <w:t xml:space="preserve"> (tipo Vedacit Vedacit Rapid ou similar), conforme NBR 9575/2010.</w:t>
      </w:r>
    </w:p>
    <w:p>
      <w:r/>
      <w:r>
        <w:rPr>
          <w:i/>
          <w:color w:val="D68C00"/>
        </w:rPr>
        <w:t>[SUGERIDO]</w:t>
      </w:r>
      <w:r>
        <w:t xml:space="preserve"> Paredes externas dos subsolos (em contato com solo) com aplicação de manta asfáltica 3 mm, proteção mecânica e sistema de drenagem periférico.</w:t>
      </w:r>
    </w:p>
    <w:p>
      <w:pPr>
        <w:pStyle w:val="Heading1"/>
      </w:pPr>
      <w:r>
        <w:t>8. PINTURA</w:t>
      </w:r>
    </w:p>
    <w:p>
      <w:r>
        <w:br w:type="page"/>
      </w:r>
    </w:p>
    <w:p>
      <w:pPr>
        <w:pStyle w:val="Heading2"/>
      </w:pPr>
      <w:r>
        <w:t>8.1 Pintura Interna</w:t>
      </w:r>
    </w:p>
    <w:p>
      <w:r/>
      <w:r>
        <w:rPr>
          <w:b/>
        </w:rPr>
        <w:t>Áreas Privativas (Apartamentos):</w:t>
      </w:r>
      <w:r/>
    </w:p>
    <w:p>
      <w:r/>
      <w:r>
        <w:rPr>
          <w:i/>
          <w:color w:val="D68C00"/>
        </w:rPr>
        <w:t>[SUGERIDO]</w:t>
      </w:r>
      <w:r/>
    </w:p>
    <w:p>
      <w:pPr>
        <w:pStyle w:val="ListBullet"/>
      </w:pPr>
      <w:r/>
      <w:r>
        <w:rPr>
          <w:b/>
        </w:rPr>
        <w:t>Paredes:</w:t>
      </w:r>
      <w:r>
        <w:t xml:space="preserve"> Pintura em </w:t>
      </w:r>
      <w:r>
        <w:rPr>
          <w:b/>
        </w:rPr>
        <w:t>tinta acrílica fosca ou acetinada lavável</w:t>
      </w:r>
      <w:r>
        <w:t>, cor branco gelo ou cores neutras (areia, palha, cinza claro), aplicação de fundo preparador de paredes, massa corrida PVA, lixamento fino e 2 a 3 demãos de tinta acabamento.</w:t>
      </w:r>
    </w:p>
    <w:p>
      <w:pPr>
        <w:pStyle w:val="ListBullet"/>
      </w:pPr>
      <w:r/>
      <w:r>
        <w:rPr>
          <w:b/>
        </w:rPr>
        <w:t>Forros:</w:t>
      </w:r>
      <w:r>
        <w:t xml:space="preserve"> Pintura em </w:t>
      </w:r>
      <w:r>
        <w:rPr>
          <w:b/>
        </w:rPr>
        <w:t>tinta acrílica fosca branca</w:t>
      </w:r>
      <w:r>
        <w:t xml:space="preserve"> sobre gesso acartonado, com selador e 2 demãos de acabamento.</w:t>
      </w:r>
    </w:p>
    <w:p>
      <w:pPr>
        <w:pStyle w:val="ListBullet"/>
      </w:pPr>
      <w:r/>
      <w:r>
        <w:rPr>
          <w:b/>
        </w:rPr>
        <w:t>Madeiras (Portas e Marcos):</w:t>
      </w:r>
      <w:r>
        <w:t xml:space="preserve"> Pintura em </w:t>
      </w:r>
      <w:r>
        <w:rPr>
          <w:b/>
        </w:rPr>
        <w:t>esmalte sintético acetinado ou semi-brilho</w:t>
      </w:r>
      <w:r>
        <w:t xml:space="preserve"> cor branco neve, com aplicação de fundo branco, massa a óleo, lixamento e 2 demãos de esmalte. Alternativa: portas em laminado sem pintura.</w:t>
      </w:r>
    </w:p>
    <w:p>
      <w:r/>
      <w:r>
        <w:rPr>
          <w:b/>
        </w:rPr>
        <w:t>Áreas Comuns (Lazer e Circulação):</w:t>
      </w:r>
      <w:r/>
    </w:p>
    <w:p>
      <w:r/>
      <w:r>
        <w:rPr>
          <w:i/>
          <w:color w:val="D68C00"/>
        </w:rPr>
        <w:t>[SUGERIDO]</w:t>
      </w:r>
      <w:r/>
    </w:p>
    <w:p>
      <w:pPr>
        <w:pStyle w:val="ListBullet"/>
      </w:pPr>
      <w:r/>
      <w:r>
        <w:rPr>
          <w:b/>
        </w:rPr>
        <w:t>Paredes e Tetos:</w:t>
      </w:r>
      <w:r>
        <w:t xml:space="preserve"> Pintura em </w:t>
      </w:r>
      <w:r>
        <w:rPr>
          <w:b/>
        </w:rPr>
        <w:t>tinta acrílica acetinada lavável</w:t>
      </w:r>
      <w:r>
        <w:t xml:space="preserve"> em cores neutras (branco gelo, areia, cinza claro), com aplicação de fundo, massa corrida PVA ou acrílica, lixamento e 2 a 3 demãos de tinta.</w:t>
      </w:r>
    </w:p>
    <w:p>
      <w:pPr>
        <w:pStyle w:val="ListBullet"/>
      </w:pPr>
      <w:r/>
      <w:r>
        <w:rPr>
          <w:b/>
        </w:rPr>
        <w:t>Esquadrias Metálicas:</w:t>
      </w:r>
      <w:r>
        <w:t xml:space="preserve"> Pintura eletrostática em cor branco ou conforme projeto arquitetônico.</w:t>
      </w:r>
    </w:p>
    <w:p>
      <w:r/>
      <w:r>
        <w:rPr>
          <w:b/>
        </w:rPr>
        <w:t>Garagens:</w:t>
      </w:r>
      <w:r/>
    </w:p>
    <w:p>
      <w:r/>
      <w:r>
        <w:rPr>
          <w:i/>
          <w:color w:val="D68C00"/>
        </w:rPr>
        <w:t>[SUGERIDO]</w:t>
      </w:r>
      <w:r>
        <w:t xml:space="preserve"> Pintura em </w:t>
      </w:r>
      <w:r>
        <w:rPr>
          <w:b/>
        </w:rPr>
        <w:t>tinta látex PVA ou acrílica</w:t>
      </w:r>
      <w:r>
        <w:t xml:space="preserve"> em cor clara (branco, areia), aplicada sobre reboco ou concreto regularizado, com fundo preparador e 2 demãos de acabamento.</w:t>
      </w:r>
    </w:p>
    <w:p>
      <w:pPr>
        <w:pStyle w:val="Heading2"/>
      </w:pPr>
      <w:r>
        <w:t>8.2 Pintura Externa</w:t>
      </w:r>
    </w:p>
    <w:p>
      <w:r/>
      <w:r>
        <w:rPr>
          <w:b/>
        </w:rPr>
        <w:t>Fachada:</w:t>
      </w:r>
      <w:r/>
    </w:p>
    <w:p>
      <w:r/>
      <w:r>
        <w:rPr>
          <w:i/>
          <w:color w:val="D68C00"/>
        </w:rPr>
        <w:t>[SUGERIDO]</w:t>
      </w:r>
      <w:r>
        <w:t xml:space="preserve"> Pintura em </w:t>
      </w:r>
      <w:r>
        <w:rPr>
          <w:b/>
        </w:rPr>
        <w:t>tinta acrílica texturizada ou lisa para exterior</w:t>
      </w:r>
      <w:r>
        <w:t xml:space="preserve"> em cor clara (branco, areia, bege, cinza claro), aplicada sobre reboco paulista desempenado, com fundo preparador, massa acrílica para correção de imperfeições e 2 a 3 demãos de tinta acabamento.</w:t>
      </w:r>
    </w:p>
    <w:p>
      <w:pPr>
        <w:pStyle w:val="ListBullet"/>
      </w:pPr>
      <w:r>
        <w:t>Aplicação de tela de PVC sobre emboço para prevenção de fissuras</w:t>
      </w:r>
    </w:p>
    <w:p>
      <w:pPr>
        <w:pStyle w:val="ListBullet"/>
      </w:pPr>
      <w:r>
        <w:t>Tratamento de juntas de dilatação e encontros com esquadrias</w:t>
      </w:r>
    </w:p>
    <w:p>
      <w:r/>
      <w:r>
        <w:rPr>
          <w:b/>
        </w:rPr>
        <w:t>Grades, Portões e Esquadrias Metálicas Externas:</w:t>
      </w:r>
      <w:r/>
    </w:p>
    <w:p>
      <w:r/>
      <w:r>
        <w:rPr>
          <w:i/>
          <w:color w:val="D68C00"/>
        </w:rPr>
        <w:t>[SUGERIDO]</w:t>
      </w:r>
      <w:r>
        <w:t xml:space="preserve"> Pintura em </w:t>
      </w:r>
      <w:r>
        <w:rPr>
          <w:b/>
        </w:rPr>
        <w:t>esmalte sintético brilhante ou acetinado</w:t>
      </w:r>
      <w:r>
        <w:t xml:space="preserve"> sobre primer anticorrosivo (zarcão ou epóxi), aplicação de 2 demãos de acabamento em cor conforme projeto arquitetônico (branco, preto, grafite ou similar).</w:t>
      </w:r>
    </w:p>
    <w:p>
      <w:pPr>
        <w:pStyle w:val="Heading1"/>
      </w:pPr>
      <w:r>
        <w:t>9. INSTALAÇÕES ELÉTRICAS</w:t>
      </w:r>
    </w:p>
    <w:p>
      <w:r>
        <w:br w:type="page"/>
      </w:r>
    </w:p>
    <w:p>
      <w:pPr>
        <w:pStyle w:val="Heading2"/>
      </w:pPr>
      <w:r>
        <w:t>9.1 Fornecimento de Energia</w:t>
      </w:r>
    </w:p>
    <w:p>
      <w:r/>
      <w:r>
        <w:rPr>
          <w:b/>
        </w:rPr>
        <w:t>Entrada de Energia:</w:t>
      </w:r>
      <w:r/>
    </w:p>
    <w:p>
      <w:r/>
      <w:r>
        <w:rPr>
          <w:i/>
          <w:color w:val="D68C00"/>
        </w:rPr>
        <w:t>[SUGERIDO]</w:t>
      </w:r>
      <w:r>
        <w:t xml:space="preserve"> Entrada de energia em média tensão (13,8 kV) ou baixa tensão conforme disponibilidade da concessionária (Celesc), com medição centralizada no térreo ou subsolo conforme padrão de entrada da concessionária.</w:t>
      </w:r>
    </w:p>
    <w:p>
      <w:r/>
      <w:r>
        <w:rPr>
          <w:b/>
        </w:rPr>
        <w:t>Transformador:</w:t>
      </w:r>
      <w:r/>
    </w:p>
    <w:p>
      <w:r/>
      <w:r>
        <w:rPr>
          <w:i/>
          <w:color w:val="D68C00"/>
        </w:rPr>
        <w:t>[SUGERIDO]</w:t>
      </w:r>
      <w:r>
        <w:t xml:space="preserve"> Subestação interna com transformador a seco, potência dimensionada conforme demanda total do empreendimento (estimada entre 500 kVA e 800 kVA), instalado em local ventilado e protegido conforme NBR 14039.</w:t>
      </w:r>
    </w:p>
    <w:p>
      <w:pPr>
        <w:pStyle w:val="Heading2"/>
      </w:pPr>
      <w:r>
        <w:t>9.2 Distribuição Interna</w:t>
      </w:r>
    </w:p>
    <w:p>
      <w:r/>
      <w:r>
        <w:rPr>
          <w:b/>
        </w:rPr>
        <w:t>Quadros Elétricos:</w:t>
      </w:r>
      <w:r/>
    </w:p>
    <w:p>
      <w:pPr>
        <w:pStyle w:val="ListBullet"/>
      </w:pPr>
      <w:r/>
      <w:r>
        <w:rPr>
          <w:b/>
        </w:rPr>
        <w:t>QDG (Quadro de Distribuição Geral):</w:t>
      </w:r>
      <w:r>
        <w:t xml:space="preserve"> Instalado no térreo ou subsolo, disjuntores termomagnéticos, barramento dimensionado conforme demanda total</w:t>
      </w:r>
    </w:p>
    <w:p>
      <w:pPr>
        <w:pStyle w:val="ListBullet"/>
      </w:pPr>
      <w:r/>
      <w:r>
        <w:rPr>
          <w:b/>
        </w:rPr>
        <w:t>Quadros de Distribuição por Pavimento:</w:t>
      </w:r>
      <w:r>
        <w:t xml:space="preserve"> Instalados em shafts elétricos, com barramentos e disjuntores para alimentação das unidades autônomas</w:t>
      </w:r>
    </w:p>
    <w:p>
      <w:pPr>
        <w:pStyle w:val="ListBullet"/>
      </w:pPr>
      <w:r/>
      <w:r>
        <w:rPr>
          <w:b/>
        </w:rPr>
        <w:t>Quadros Individuais das Unidades:</w:t>
      </w:r>
      <w:r>
        <w:t xml:space="preserve"> Quadros de distribuição embutidos em cada unidade, com disjuntores termomagnéticos monopolares e bipolares, DR geral 30 mA, padrão de entrada individual com medidor eletrônico</w:t>
      </w:r>
    </w:p>
    <w:p>
      <w:r/>
      <w:r>
        <w:rPr>
          <w:b/>
        </w:rPr>
        <w:t>Cabeamento:</w:t>
      </w:r>
      <w:r/>
    </w:p>
    <w:p>
      <w:r/>
      <w:r>
        <w:rPr>
          <w:i/>
          <w:color w:val="D68C00"/>
        </w:rPr>
        <w:t>[SUGERIDO]</w:t>
      </w:r>
      <w:r>
        <w:t xml:space="preserve"> Condutores elétricos de cobre isolados em PVC 750V, seções dimensionadas conforme NBR 5410/2004, instalados em eletrodutos corrugados (áreas privativas) ou eletrodutos rígidos de PVC (áreas comuns e circulação vertical).</w:t>
      </w:r>
    </w:p>
    <w:p>
      <w:pPr>
        <w:pStyle w:val="Heading2"/>
      </w:pPr>
      <w:r>
        <w:t>9.3 Pontos de Utilização</w:t>
      </w:r>
    </w:p>
    <w:p>
      <w:r/>
      <w:r>
        <w:rPr>
          <w:b/>
        </w:rPr>
        <w:t>Unidades Privativas:</w:t>
      </w:r>
      <w:r/>
    </w:p>
    <w:p>
      <w:r/>
      <w:r>
        <w:rPr>
          <w:i/>
          <w:color w:val="D68C00"/>
        </w:rPr>
        <w:t>[SUGERIDO]</w:t>
      </w:r>
      <w:r/>
    </w:p>
    <w:p>
      <w:pPr>
        <w:pStyle w:val="ListBullet"/>
      </w:pPr>
      <w:r>
        <w:t>Pontos de iluminação: conforme projeto arquitetônico (sala, cozinha, dormitórios, banheiros, áreas de serviço, circulação)</w:t>
      </w:r>
    </w:p>
    <w:p>
      <w:pPr>
        <w:pStyle w:val="ListBullet"/>
      </w:pPr>
      <w:r>
        <w:t>Pontos de tomadas: quantidade mínima conforme NBR 5410 (salas e dormitórios: 1 tomada a cada 5 m de perímetro, cozinhas: mínimo 3 tomadas acima da bancada + 1 para cada eletrodoméstico)</w:t>
      </w:r>
    </w:p>
    <w:p>
      <w:pPr>
        <w:pStyle w:val="ListBullet"/>
      </w:pPr>
      <w:r>
        <w:t>Circuitos específicos: chuveiro elétrico, torneira elétrica, ar-condicionado (pré-instalação), forno elétrico, micro-ondas, máquina de lavar</w:t>
      </w:r>
    </w:p>
    <w:p>
      <w:pPr>
        <w:pStyle w:val="ListBullet"/>
      </w:pPr>
      <w:r>
        <w:t>Interruptores paralelos (three-way) em circulações e dormitórios conforme projeto</w:t>
      </w:r>
    </w:p>
    <w:p>
      <w:r/>
      <w:r>
        <w:rPr>
          <w:b/>
        </w:rPr>
        <w:t>Áreas Comuns e Lazer:</w:t>
      </w:r>
      <w:r/>
    </w:p>
    <w:p>
      <w:pPr>
        <w:pStyle w:val="ListBullet"/>
      </w:pPr>
      <w:r>
        <w:t>Iluminação de emergência com luminárias autônomas em rotas de fuga e escadas, conforme NBR 10898 e PPCI</w:t>
      </w:r>
    </w:p>
    <w:p>
      <w:pPr>
        <w:pStyle w:val="ListBullet"/>
      </w:pPr>
      <w:r>
        <w:t>Iluminação decorativa e funcional em áreas de lazer (piscina, deck, salões, academia)</w:t>
      </w:r>
    </w:p>
    <w:p>
      <w:pPr>
        <w:pStyle w:val="ListBullet"/>
      </w:pPr>
      <w:r>
        <w:t>Tomadas em quantidade adequada para equipamentos e limpeza</w:t>
      </w:r>
    </w:p>
    <w:p>
      <w:r/>
      <w:r>
        <w:rPr>
          <w:b/>
        </w:rPr>
        <w:t>Garagens:</w:t>
      </w:r>
      <w:r/>
    </w:p>
    <w:p>
      <w:pPr>
        <w:pStyle w:val="ListBullet"/>
      </w:pPr>
      <w:r>
        <w:t>Iluminação geral com luminárias de LED tipo industrial, instaladas a cada 15 m²</w:t>
      </w:r>
    </w:p>
    <w:p>
      <w:pPr>
        <w:pStyle w:val="ListBullet"/>
      </w:pPr>
      <w:r>
        <w:t>Tomadas para limpeza e manutenção a cada 50 m²</w:t>
      </w:r>
    </w:p>
    <w:p>
      <w:pPr>
        <w:pStyle w:val="ListBullet"/>
      </w:pPr>
      <w:r>
        <w:t>Sistema de ventilação/exaustão mecânica (se necessário conforme projeto)</w:t>
      </w:r>
    </w:p>
    <w:p>
      <w:pPr>
        <w:pStyle w:val="Heading2"/>
      </w:pPr>
      <w:r>
        <w:t>9.4 Sistemas Especiais</w:t>
      </w:r>
    </w:p>
    <w:p>
      <w:r/>
      <w:r>
        <w:rPr>
          <w:b/>
        </w:rPr>
        <w:t>Iluminação de Emergência:</w:t>
      </w:r>
      <w:r/>
    </w:p>
    <w:p>
      <w:r>
        <w:t>Luminárias autônomas em rotas de fuga, escadas e áreas comuns, conforme NBR 10898.</w:t>
      </w:r>
    </w:p>
    <w:p>
      <w:r/>
      <w:r>
        <w:rPr>
          <w:b/>
        </w:rPr>
        <w:t>Sistema de Aterramento:</w:t>
      </w:r>
      <w:r/>
    </w:p>
    <w:p>
      <w:r/>
      <w:r>
        <w:rPr>
          <w:i/>
          <w:color w:val="D68C00"/>
        </w:rPr>
        <w:t>[SUGERIDO]</w:t>
      </w:r>
      <w:r>
        <w:t xml:space="preserve"> Malha de aterramento com hastes cobreadas cravadas junto às fundações, interligadas por cabo de cobre nu, resistência de aterramento ≤ 10 Ω conforme NBR 5410.</w:t>
      </w:r>
    </w:p>
    <w:p>
      <w:r/>
      <w:r>
        <w:rPr>
          <w:b/>
        </w:rPr>
        <w:t>Proteção contra Descargas Atmosféricas (SPDA):</w:t>
      </w:r>
      <w:r/>
    </w:p>
    <w:p>
      <w:r/>
      <w:r>
        <w:rPr>
          <w:i/>
          <w:color w:val="D68C00"/>
        </w:rPr>
        <w:t>[SUGERIDO]</w:t>
      </w:r>
      <w:r>
        <w:t xml:space="preserve"> Sistema de proteção tipo Franklin ou gaiola de Faraday, instalado na cobertura do edifício, conforme NBR 5419. Captores, condutores de descida e conexões em cobre ou alumínio, interligados à malha de aterramento.</w:t>
      </w:r>
    </w:p>
    <w:p>
      <w:r/>
      <w:r>
        <w:rPr>
          <w:b/>
        </w:rPr>
        <w:t>Sistema de Interfonia/Vídeo Porteiro:</w:t>
      </w:r>
      <w:r/>
    </w:p>
    <w:p>
      <w:r/>
      <w:r>
        <w:rPr>
          <w:i/>
          <w:color w:val="D68C00"/>
        </w:rPr>
        <w:t>[SUGERIDO]</w:t>
      </w:r>
      <w:r>
        <w:t xml:space="preserve"> Interfone ou vídeo porteiro com central na portaria e ramais em todas as unidades autônomas, cabeamento estruturado ou sistema wireless.</w:t>
      </w:r>
    </w:p>
    <w:p>
      <w:r/>
      <w:r>
        <w:rPr>
          <w:b/>
        </w:rPr>
        <w:t>CFTV (Circuito Fechado de TV):</w:t>
      </w:r>
      <w:r/>
    </w:p>
    <w:p>
      <w:r/>
      <w:r>
        <w:rPr>
          <w:i/>
          <w:color w:val="D68C00"/>
        </w:rPr>
        <w:t>[SUGERIDO]</w:t>
      </w:r>
      <w:r>
        <w:t xml:space="preserve"> Sistema de câmeras de segurança instaladas em áreas comuns (hall de entrada, garagens, elevadores, áreas de lazer), com gravação digital (DVR ou NVR) e visualização remota por aplicativo.</w:t>
      </w:r>
    </w:p>
    <w:p>
      <w:r/>
      <w:r>
        <w:rPr>
          <w:b/>
        </w:rPr>
        <w:t>Controle de Acesso:</w:t>
      </w:r>
      <w:r/>
    </w:p>
    <w:p>
      <w:r/>
      <w:r>
        <w:rPr>
          <w:i/>
          <w:color w:val="D68C00"/>
        </w:rPr>
        <w:t>[SUGERIDO]</w:t>
      </w:r>
      <w:r>
        <w:t xml:space="preserve"> Sistema de controle de acesso por cartão de proximidade, biometria ou aplicativo mobile para portaria, garagens e áreas de lazer.</w:t>
      </w:r>
    </w:p>
    <w:p>
      <w:pPr>
        <w:pStyle w:val="Heading1"/>
      </w:pPr>
      <w:r>
        <w:t>10. INSTALAÇÕES HIDROSSANITÁRIAS</w:t>
      </w:r>
    </w:p>
    <w:p>
      <w:r>
        <w:br w:type="page"/>
      </w:r>
    </w:p>
    <w:p>
      <w:pPr>
        <w:pStyle w:val="Heading2"/>
      </w:pPr>
      <w:r>
        <w:t>10.1 Água Fria</w:t>
      </w:r>
    </w:p>
    <w:p>
      <w:r/>
      <w:r>
        <w:rPr>
          <w:b/>
        </w:rPr>
        <w:t>Entrada de Água:</w:t>
      </w:r>
      <w:r/>
    </w:p>
    <w:p>
      <w:r>
        <w:t>Ramal de entrada em tubulação PEAD ou PVC, diâmetro conforme padrão da concessionária (Samae Itajaí), com hidrômetro geral instalado conforme normas da concessionária.</w:t>
      </w:r>
    </w:p>
    <w:p>
      <w:r/>
      <w:r>
        <w:rPr>
          <w:b/>
        </w:rPr>
        <w:t>Reservatórios:</w:t>
      </w:r>
      <w:r/>
    </w:p>
    <w:p>
      <w:r/>
      <w:r>
        <w:rPr>
          <w:i/>
          <w:color w:val="D68C00"/>
        </w:rPr>
        <w:t>[SUGERIDO]</w:t>
      </w:r>
      <w:r/>
    </w:p>
    <w:p>
      <w:pPr>
        <w:pStyle w:val="ListBullet"/>
      </w:pPr>
      <w:r/>
      <w:r>
        <w:rPr>
          <w:b/>
        </w:rPr>
        <w:t>Reservatório Inferior (RI):</w:t>
      </w:r>
      <w:r>
        <w:t xml:space="preserve"> Localizado no subsolo ou térreo, capacidade estimada de 60.000 a 80.000 litros (dimensionado para consumo de 2 dias), construído em concreto armado impermeabilizado ou em fibra de vidro modular. Sistema de limpeza e extravasor conforme NBR 5626.</w:t>
      </w:r>
    </w:p>
    <w:p>
      <w:pPr>
        <w:pStyle w:val="ListBullet"/>
      </w:pPr>
      <w:r/>
      <w:r>
        <w:rPr>
          <w:b/>
        </w:rPr>
        <w:t>Reservatórios Superiores (RS):</w:t>
      </w:r>
      <w:r>
        <w:t xml:space="preserve"> Localizados na cobertura, capacidade total estimada de 60.000 a 80.000 litros (dimensionado para consumo de 1 dia), em fibra de vidro modular ou concreto armado impermeabilizado. Dois reservatórios independentes para permitir limpeza alternada.</w:t>
      </w:r>
    </w:p>
    <w:p>
      <w:r/>
      <w:r>
        <w:rPr>
          <w:b/>
        </w:rPr>
        <w:t>Sistema de Recalque:</w:t>
      </w:r>
      <w:r/>
    </w:p>
    <w:p>
      <w:r/>
      <w:r>
        <w:rPr>
          <w:i/>
          <w:color w:val="D68C00"/>
        </w:rPr>
        <w:t>[SUGERIDO]</w:t>
      </w:r>
      <w:r>
        <w:t xml:space="preserve"> Conjunto moto-bomba (bombas duplas com sistema de alternância automática), potência dimensionada conforme altura manométrica e vazão, instalado junto ao reservatório inferior. Tubulação de recalque em ferro galvanizado ou PVC rígido.</w:t>
      </w:r>
    </w:p>
    <w:p>
      <w:r/>
      <w:r>
        <w:rPr>
          <w:b/>
        </w:rPr>
        <w:t>Distribuição:</w:t>
      </w:r>
      <w:r/>
    </w:p>
    <w:p>
      <w:pPr>
        <w:pStyle w:val="ListBullet"/>
      </w:pPr>
      <w:r/>
      <w:r>
        <w:rPr>
          <w:b/>
        </w:rPr>
        <w:t>Prumadas (Colunas de Distribuição):</w:t>
      </w:r>
      <w:r>
        <w:t xml:space="preserve"> Tubulação em PVC rígido soldável ou PEAD, instaladas em shafts hidráulicos, com registros de gaveta em cada pavimento para manutenção.</w:t>
      </w:r>
    </w:p>
    <w:p>
      <w:pPr>
        <w:pStyle w:val="ListBullet"/>
      </w:pPr>
      <w:r/>
      <w:r>
        <w:rPr>
          <w:b/>
        </w:rPr>
        <w:t>Ramais Internos das Unidades:</w:t>
      </w:r>
      <w:r>
        <w:t xml:space="preserve"> Tubulação em PVC rígido soldável ou PEAD, diâmetros conforme NBR 5626, instalados sob laje ou embutidos em paredes de drywall (shafts). Registros de gaveta ou esfera em pontos estratégicos (banheiros, cozinhas, áreas de serviço).</w:t>
      </w:r>
    </w:p>
    <w:p>
      <w:r/>
      <w:r>
        <w:rPr>
          <w:b/>
        </w:rPr>
        <w:t>Pontos de Utilização:</w:t>
      </w:r>
      <w:r/>
    </w:p>
    <w:p>
      <w:r/>
      <w:r>
        <w:rPr>
          <w:i/>
          <w:color w:val="D68C00"/>
        </w:rPr>
        <w:t>[SUGERIDO]</w:t>
      </w:r>
      <w:r>
        <w:t xml:space="preserve"> Pontos de água em chuveiros, lavatórios, bacias sanitárias (caixas acopladas), pias de cozinha, tanques, torneiras de jardim, pontos para máquinas de lavar (roupa e louça), pontos para bebedouros e torneiras de uso geral em áreas comuns.</w:t>
      </w:r>
    </w:p>
    <w:p>
      <w:pPr>
        <w:pStyle w:val="Heading2"/>
      </w:pPr>
      <w:r>
        <w:t>10.2 Água Quente</w:t>
      </w:r>
    </w:p>
    <w:p>
      <w:r/>
      <w:r>
        <w:rPr>
          <w:i/>
          <w:color w:val="D68C00"/>
        </w:rPr>
        <w:t>[SUGERIDO]</w:t>
      </w:r>
      <w:r>
        <w:t xml:space="preserve"> Sistema de aquecimento de água individual por unidade, com </w:t>
      </w:r>
      <w:r>
        <w:rPr>
          <w:b/>
        </w:rPr>
        <w:t>aquecedores elétricos (boilers)</w:t>
      </w:r>
      <w:r>
        <w:t xml:space="preserve"> de 100 a 200 litros instalados em áreas de serviço ou shafts hidráulicos, ou </w:t>
      </w:r>
      <w:r>
        <w:rPr>
          <w:b/>
        </w:rPr>
        <w:t>aquecedores a gás GLP</w:t>
      </w:r>
      <w:r>
        <w:t xml:space="preserve"> (tipo passagem instantânea ou acumulação), instalados em locais ventilados conforme NBR 15526.</w:t>
      </w:r>
    </w:p>
    <w:p>
      <w:pPr>
        <w:pStyle w:val="ListBullet"/>
      </w:pPr>
      <w:r>
        <w:t>Tubulação de água quente em CPVC ou PPR, isoladas termicamente, instaladas paralelamente às tubulações de água fria.</w:t>
      </w:r>
    </w:p>
    <w:p>
      <w:pPr>
        <w:pStyle w:val="ListBullet"/>
      </w:pPr>
      <w:r>
        <w:t>Pontos de água quente: chuveiros, lavatórios, pias de cozinha (opcional).</w:t>
      </w:r>
    </w:p>
    <w:p>
      <w:r/>
      <w:r>
        <w:rPr>
          <w:b/>
        </w:rPr>
        <w:t>Alternativa Sustentável:</w:t>
      </w:r>
      <w:r>
        <w:t xml:space="preserve"> </w:t>
      </w:r>
      <w:r>
        <w:rPr>
          <w:i/>
          <w:color w:val="D68C00"/>
        </w:rPr>
        <w:t>[SUGERIDO]</w:t>
      </w:r>
      <w:r/>
    </w:p>
    <w:p>
      <w:r>
        <w:t>Sistema de aquecimento solar coletivo com placas coletoras instaladas na cobertura, reservatórios térmicos de acumulação e complementação por aquecedores elétricos ou a gás em dias nublados, conforme NBR 15569.</w:t>
      </w:r>
    </w:p>
    <w:p>
      <w:pPr>
        <w:pStyle w:val="Heading2"/>
      </w:pPr>
      <w:r>
        <w:t>10.3 Esgoto Sanitário</w:t>
      </w:r>
    </w:p>
    <w:p>
      <w:r/>
      <w:r>
        <w:rPr>
          <w:b/>
        </w:rPr>
        <w:t>Coleta e Condução:</w:t>
      </w:r>
      <w:r/>
    </w:p>
    <w:p>
      <w:pPr>
        <w:pStyle w:val="ListBullet"/>
      </w:pPr>
      <w:r>
        <w:t>Tubulação em PVC rígido série normal, conforme NBR 8160/1999</w:t>
      </w:r>
    </w:p>
    <w:p>
      <w:pPr>
        <w:pStyle w:val="ListBullet"/>
      </w:pPr>
      <w:r>
        <w:t>Prumadas de esgoto instaladas em shafts hidráulicos, com diâmetro mínimo DN 100 mm</w:t>
      </w:r>
    </w:p>
    <w:p>
      <w:pPr>
        <w:pStyle w:val="ListBullet"/>
      </w:pPr>
      <w:r>
        <w:t>Caixas sifonadas nas áreas molhadas (banheiros, áreas de serviço, cozinhas)</w:t>
      </w:r>
    </w:p>
    <w:p>
      <w:pPr>
        <w:pStyle w:val="ListBullet"/>
      </w:pPr>
      <w:r>
        <w:t>Ralos sifonados em áreas externas e de lazer</w:t>
      </w:r>
    </w:p>
    <w:p>
      <w:r/>
      <w:r>
        <w:rPr>
          <w:b/>
        </w:rPr>
        <w:t>Ventilação:</w:t>
      </w:r>
      <w:r/>
    </w:p>
    <w:p>
      <w:r>
        <w:t>Tubulação de ventilação (tubos de ventilação primária e secundária) em PVC rígido série normal, conforme NBR 8160, com prolongamento acima da cobertura para evitar odores e garantir o funcionamento adequado do sistema.</w:t>
      </w:r>
    </w:p>
    <w:p>
      <w:r/>
      <w:r>
        <w:rPr>
          <w:b/>
        </w:rPr>
        <w:t>Destino Final:</w:t>
      </w:r>
      <w:r/>
    </w:p>
    <w:p>
      <w:r>
        <w:t>Esgoto coletado e conduzido até a rede pública de coleta de esgoto (Samae Itajaí) por meio de caixas de inspeção e tubulação de PVC rígido série normal DN 150 mm ou superior. Caixas de gordura nas cozinhas e áreas de preparo de alimentos.</w:t>
      </w:r>
    </w:p>
    <w:p>
      <w:r/>
      <w:r>
        <w:rPr>
          <w:b/>
        </w:rPr>
        <w:t>Sistema de Esgotamento dos Subsolos:</w:t>
      </w:r>
      <w:r/>
    </w:p>
    <w:p>
      <w:r/>
      <w:r>
        <w:rPr>
          <w:i/>
          <w:color w:val="D68C00"/>
        </w:rPr>
        <w:t>[SUGERIDO]</w:t>
      </w:r>
      <w:r>
        <w:t xml:space="preserve"> Caixas coletoras de esgoto nos subsolos, com bombas submersíveis de esgoto (duplas com sistema de alternância automática) para recalque até o nível da rede pública ou caixa de inspeção no térreo.</w:t>
      </w:r>
    </w:p>
    <w:p>
      <w:pPr>
        <w:pStyle w:val="Heading2"/>
      </w:pPr>
      <w:r>
        <w:t>10.4 Águas Pluviais</w:t>
      </w:r>
    </w:p>
    <w:p>
      <w:r/>
      <w:r>
        <w:rPr>
          <w:b/>
        </w:rPr>
        <w:t>Captação:</w:t>
      </w:r>
      <w:r/>
    </w:p>
    <w:p>
      <w:r>
        <w:t>Calhas em chapa galvanizada ou PVC, condutores verticais (tubos de queda) em PVC rígido série normal DN 100 mm ou 150 mm, instalados em shafts ou aparentes conforme projeto.</w:t>
      </w:r>
    </w:p>
    <w:p>
      <w:r/>
      <w:r>
        <w:rPr>
          <w:b/>
        </w:rPr>
        <w:t>Condução e Destino:</w:t>
      </w:r>
      <w:r/>
    </w:p>
    <w:p>
      <w:r>
        <w:t>Tubulação de águas pluviais em PVC rígido série normal, conduzida até caixas de captação e posteriormente lançada na rede pública de drenagem ou sistema de retenção/infiltração conforme exigências da legislação municipal.</w:t>
      </w:r>
    </w:p>
    <w:p>
      <w:r/>
      <w:r>
        <w:rPr>
          <w:b/>
        </w:rPr>
        <w:t>Sistema de Retenção/Infiltração:</w:t>
      </w:r>
      <w:r>
        <w:t xml:space="preserve"> </w:t>
      </w:r>
      <w:r>
        <w:rPr>
          <w:i/>
          <w:color w:val="D68C00"/>
        </w:rPr>
        <w:t>[SUGERIDO]</w:t>
      </w:r>
      <w:r/>
    </w:p>
    <w:p>
      <w:r>
        <w:t>Reservatório de retenção ou infiltração de águas pluviais dimensionado conforme exigências da Prefeitura Municipal de Itajaí, instalado no subsolo ou área externa, com extravasor para rede pública.</w:t>
      </w:r>
    </w:p>
    <w:p>
      <w:pPr>
        <w:pStyle w:val="Heading1"/>
      </w:pPr>
      <w:r>
        <w:t>11. INSTALAÇÕES DE GÁS</w:t>
      </w:r>
    </w:p>
    <w:p>
      <w:r>
        <w:br w:type="page"/>
      </w:r>
    </w:p>
    <w:p>
      <w:pPr>
        <w:pStyle w:val="Heading2"/>
      </w:pPr>
      <w:r>
        <w:t>11.1 Sistema de Gás GLP (Gás Liquefeito de Petróleo)</w:t>
      </w:r>
    </w:p>
    <w:p>
      <w:r/>
      <w:r>
        <w:rPr>
          <w:i/>
          <w:color w:val="D68C00"/>
        </w:rPr>
        <w:t>[SUGERIDO]</w:t>
      </w:r>
      <w:r>
        <w:t xml:space="preserve"> Central de gás GLP com cilindros ou tanque estacionário instalado em abrigo exclusivo, conforme NBR 15526/2016, localizado em área externa ventilada e de fácil acesso para abastecimento.</w:t>
      </w:r>
    </w:p>
    <w:p>
      <w:r/>
      <w:r>
        <w:rPr>
          <w:b/>
        </w:rPr>
        <w:t>Distribuição:</w:t>
      </w:r>
      <w:r/>
    </w:p>
    <w:p>
      <w:pPr>
        <w:pStyle w:val="ListBullet"/>
      </w:pPr>
      <w:r>
        <w:t>Tubulação de cobre rígido ou aço galvanizado, instalada em áreas externas, fachadas ou shafts com ventilação adequada</w:t>
      </w:r>
    </w:p>
    <w:p>
      <w:pPr>
        <w:pStyle w:val="ListBullet"/>
      </w:pPr>
      <w:r>
        <w:t>Prumadas de gás em cada pavimento, com registros de bloqueio em cada unidade</w:t>
      </w:r>
    </w:p>
    <w:p>
      <w:pPr>
        <w:pStyle w:val="ListBullet"/>
      </w:pPr>
      <w:r>
        <w:t>Ramais internos até os pontos de utilização (fogões, fornos, aquecedores)</w:t>
      </w:r>
    </w:p>
    <w:p>
      <w:r/>
      <w:r>
        <w:rPr>
          <w:b/>
        </w:rPr>
        <w:t>Pontos de Utilização:</w:t>
      </w:r>
      <w:r/>
    </w:p>
    <w:p>
      <w:r>
        <w:t>Pontos de gás em cozinhas (fogões de 4 ou 5 bocas, fornos) e áreas de serviço (aquecedores de passagem, se aplicável).</w:t>
      </w:r>
    </w:p>
    <w:p>
      <w:r/>
      <w:r>
        <w:rPr>
          <w:b/>
        </w:rPr>
        <w:t>Segurança:</w:t>
      </w:r>
      <w:r/>
    </w:p>
    <w:p>
      <w:pPr>
        <w:pStyle w:val="ListBullet"/>
      </w:pPr>
      <w:r>
        <w:t>Detectores de vazamento de gás em áreas de risco (central de gás, shafts)</w:t>
      </w:r>
    </w:p>
    <w:p>
      <w:pPr>
        <w:pStyle w:val="ListBullet"/>
      </w:pPr>
      <w:r>
        <w:t>Válvulas de bloqueio automático em caso de vazamento</w:t>
      </w:r>
    </w:p>
    <w:p>
      <w:pPr>
        <w:pStyle w:val="ListBullet"/>
      </w:pPr>
      <w:r>
        <w:t>Ventilação permanente nos ambientes com instalações de gás</w:t>
      </w:r>
    </w:p>
    <w:p>
      <w:pPr>
        <w:pStyle w:val="ListBullet"/>
      </w:pPr>
      <w:r>
        <w:t>Sinalização de segurança conforme NBR 15526</w:t>
      </w:r>
    </w:p>
    <w:p>
      <w:pPr>
        <w:pStyle w:val="Heading1"/>
      </w:pPr>
      <w:r>
        <w:t>12. INSTALAÇÕES DE PREVENÇÃO E COMBATE A INCÊNDIO (PPCI)</w:t>
      </w:r>
    </w:p>
    <w:p>
      <w:r>
        <w:br w:type="page"/>
      </w:r>
    </w:p>
    <w:p>
      <w:pPr>
        <w:pStyle w:val="Heading2"/>
      </w:pPr>
      <w:r>
        <w:t>12.1 Sistema de Detecção e Alarme</w:t>
      </w:r>
    </w:p>
    <w:p>
      <w:r/>
      <w:r>
        <w:rPr>
          <w:i/>
          <w:color w:val="D68C00"/>
        </w:rPr>
        <w:t>[SUGERIDO]</w:t>
      </w:r>
      <w:r>
        <w:t xml:space="preserve"> Sistema de detecção automática de incêndio com central de alarme instalada na portaria ou central de monitoramento, detectores de fumaça em circulações e áreas comuns, acionadores manuais (botoeiras de alarme) próximos às escadas e saídas de emergência, conforme NBR 17240 e IN 18 do CBMSC.</w:t>
      </w:r>
    </w:p>
    <w:p>
      <w:pPr>
        <w:pStyle w:val="Heading2"/>
      </w:pPr>
      <w:r>
        <w:t>12.2 Extintores de Incêndio</w:t>
      </w:r>
    </w:p>
    <w:p>
      <w:r>
        <w:t>Extintores portáteis instalados conforme NBR 12693 e IN 18 do CBMSC:</w:t>
      </w:r>
    </w:p>
    <w:p>
      <w:pPr>
        <w:pStyle w:val="ListBullet"/>
      </w:pPr>
      <w:r/>
      <w:r>
        <w:rPr>
          <w:b/>
        </w:rPr>
        <w:t>Extintores de Água Pressurizada (AP):</w:t>
      </w:r>
      <w:r>
        <w:t xml:space="preserve"> Classe A (materiais sólidos), capacidade 10 litros</w:t>
      </w:r>
    </w:p>
    <w:p>
      <w:pPr>
        <w:pStyle w:val="ListBullet"/>
      </w:pPr>
      <w:r/>
      <w:r>
        <w:rPr>
          <w:b/>
        </w:rPr>
        <w:t>Extintores de Pó Químico Seco (PQS):</w:t>
      </w:r>
      <w:r>
        <w:t xml:space="preserve"> Classe ABC, capacidade 6 kg</w:t>
      </w:r>
    </w:p>
    <w:p>
      <w:pPr>
        <w:pStyle w:val="ListBullet"/>
      </w:pPr>
      <w:r/>
      <w:r>
        <w:rPr>
          <w:b/>
        </w:rPr>
        <w:t>Extintores de CO₂:</w:t>
      </w:r>
      <w:r>
        <w:t xml:space="preserve"> Classe BC (líquidos inflamáveis e equipamentos elétricos), capacidade 6 kg</w:t>
      </w:r>
    </w:p>
    <w:p>
      <w:r>
        <w:t>Localização: corredores, áreas comuns, garagens, casa de máquinas, subestação, central de gás, a cada 25 m de distância máxima a percorrer.</w:t>
      </w:r>
    </w:p>
    <w:p>
      <w:pPr>
        <w:pStyle w:val="Heading2"/>
      </w:pPr>
      <w:r>
        <w:t>12.3 Sistema de Hidrantes e Mangotinhos</w:t>
      </w:r>
    </w:p>
    <w:p>
      <w:r/>
      <w:r>
        <w:rPr>
          <w:i/>
          <w:color w:val="D68C00"/>
        </w:rPr>
        <w:t>[SUGERIDO]</w:t>
      </w:r>
      <w:r>
        <w:t xml:space="preserve"> Sistema de hidrantes e mangotinhos conforme NBR 13714 e IN 18 do CBMSC:</w:t>
      </w:r>
    </w:p>
    <w:p>
      <w:pPr>
        <w:pStyle w:val="ListBullet"/>
      </w:pPr>
      <w:r>
        <w:t>Hidrantes de coluna DN 65 mm instalados em cada pavimento (próximos às escadas), com abrigo metálico contendo mangueiras, esguichos, chaves storz e registros</w:t>
      </w:r>
    </w:p>
    <w:p>
      <w:pPr>
        <w:pStyle w:val="ListBullet"/>
      </w:pPr>
      <w:r>
        <w:t>Reservatório de incêndio (RI) com capacidade mínima conforme cálculo hidráulico (geralmente 20 a 40 m³), pode ser compartilhado com reservatório de água potável desde que respeitado o volume exclusivo de incêndio</w:t>
      </w:r>
    </w:p>
    <w:p>
      <w:pPr>
        <w:pStyle w:val="ListBullet"/>
      </w:pPr>
      <w:r>
        <w:t>Casa de bombas de incêndio com motobombas principal e reserva (jockey), painéis elétricos e sistema de pressurização automático</w:t>
      </w:r>
    </w:p>
    <w:p>
      <w:pPr>
        <w:pStyle w:val="Heading2"/>
      </w:pPr>
      <w:r>
        <w:t>12.4 Iluminação de Emergência</w:t>
      </w:r>
    </w:p>
    <w:p>
      <w:r>
        <w:t>Luminárias autônomas com baterias de autonomia mínima de 1 hora, instaladas em rotas de fuga, escadas, corredores e áreas comuns, conforme NBR 10898 e IN 18 do CBMSC.</w:t>
      </w:r>
    </w:p>
    <w:p>
      <w:pPr>
        <w:pStyle w:val="Heading2"/>
      </w:pPr>
      <w:r>
        <w:t>12.5 Sinalização de Emergência</w:t>
      </w:r>
    </w:p>
    <w:p>
      <w:r>
        <w:t>Placas de sinalização fotoluminescentes (que brilham no escuro) indicando rotas de fuga, saídas de emergência, localização de extintores e hidrantes, conforme NBR 13434 e IN 18 do CBMSC.</w:t>
      </w:r>
    </w:p>
    <w:p>
      <w:pPr>
        <w:pStyle w:val="Heading2"/>
      </w:pPr>
      <w:r>
        <w:t>12.6 Escadas de Emergência</w:t>
      </w:r>
    </w:p>
    <w:p>
      <w:r>
        <w:t>Escada enclausurada protegida (EP) ou à prova de fumaça (PF), conforme IN 18 do CBMSC, com portas corta-fogo P-90, barras antipânico, ventilação natural ou mecânica, e acesso direto às vias públicas ou áreas de refúgio.</w:t>
      </w:r>
    </w:p>
    <w:p>
      <w:r/>
      <w:r>
        <w:rPr>
          <w:b/>
        </w:rPr>
        <w:t>Características:</w:t>
      </w:r>
      <w:r/>
    </w:p>
    <w:p>
      <w:pPr>
        <w:pStyle w:val="ListBullet"/>
      </w:pPr>
      <w:r>
        <w:t>Paredes em alvenaria estrutural (bloco sical ou concreto) com resistência ao fogo mínima de 120 minutos</w:t>
      </w:r>
    </w:p>
    <w:p>
      <w:pPr>
        <w:pStyle w:val="ListBullet"/>
      </w:pPr>
      <w:r>
        <w:t>Piso e patamares em concreto armado, revestimento antiderrapante</w:t>
      </w:r>
    </w:p>
    <w:p>
      <w:pPr>
        <w:pStyle w:val="ListBullet"/>
      </w:pPr>
      <w:r>
        <w:t>Guarda-corpo metálico com corrimão bilateral</w:t>
      </w:r>
    </w:p>
    <w:p>
      <w:pPr>
        <w:pStyle w:val="ListBullet"/>
      </w:pPr>
      <w:r>
        <w:t>Iluminação de emergência e sinalização fotoluminescente</w:t>
      </w:r>
    </w:p>
    <w:p>
      <w:pPr>
        <w:pStyle w:val="Heading1"/>
      </w:pPr>
      <w:r>
        <w:t>13. INSTALAÇÕES DE TELECOMUNICAÇÕES</w:t>
      </w:r>
    </w:p>
    <w:p>
      <w:r>
        <w:br w:type="page"/>
      </w:r>
    </w:p>
    <w:p>
      <w:pPr>
        <w:pStyle w:val="Heading2"/>
      </w:pPr>
      <w:r>
        <w:t>13.1 Infraestrutura de Rede de Dados e Telefonia</w:t>
      </w:r>
    </w:p>
    <w:p>
      <w:r/>
      <w:r>
        <w:rPr>
          <w:i/>
          <w:color w:val="D68C00"/>
        </w:rPr>
        <w:t>[SUGERIDO]</w:t>
      </w:r>
      <w:r>
        <w:t xml:space="preserve"> Infraestrutura de cabeamento estruturado conforme NBR 14565, com tubulações, caixas de passagem e prumadas de telecomunicações (rede de telefonia, internet, TV a cabo).</w:t>
      </w:r>
    </w:p>
    <w:p>
      <w:pPr>
        <w:pStyle w:val="ListBullet"/>
      </w:pPr>
      <w:r/>
      <w:r>
        <w:rPr>
          <w:b/>
        </w:rPr>
        <w:t>Central de Telecomunicações:</w:t>
      </w:r>
      <w:r>
        <w:t xml:space="preserve"> Sala técnica no térreo ou subsolo para entrada de provedores (internet fibra óptica, TV a cabo, telefonia)</w:t>
      </w:r>
    </w:p>
    <w:p>
      <w:pPr>
        <w:pStyle w:val="ListBullet"/>
      </w:pPr>
      <w:r/>
      <w:r>
        <w:rPr>
          <w:b/>
        </w:rPr>
        <w:t>Prumadas de Telecomunicações:</w:t>
      </w:r>
      <w:r>
        <w:t xml:space="preserve"> Tubulações de PVC rígido ou eletrodutos metálicos instaladas em shafts, com caixas de passagem em cada pavimento</w:t>
      </w:r>
    </w:p>
    <w:p>
      <w:pPr>
        <w:pStyle w:val="ListBullet"/>
      </w:pPr>
      <w:r/>
      <w:r>
        <w:rPr>
          <w:b/>
        </w:rPr>
        <w:t>Infraestrutura nas Unidades:</w:t>
      </w:r>
      <w:r>
        <w:t xml:space="preserve"> Pré-instalação de pontos de telefonia e rede de dados (cabeamento CAT5e ou CAT6) em salas, dormitórios e home office</w:t>
      </w:r>
    </w:p>
    <w:p>
      <w:pPr>
        <w:pStyle w:val="Heading2"/>
      </w:pPr>
      <w:r>
        <w:t>13.2 TV a Cabo e Internet</w:t>
      </w:r>
    </w:p>
    <w:p>
      <w:r/>
      <w:r>
        <w:rPr>
          <w:i/>
          <w:color w:val="D68C00"/>
        </w:rPr>
        <w:t>[SUGERIDO]</w:t>
      </w:r>
      <w:r>
        <w:t xml:space="preserve"> Infraestrutura para instalação de TV a cabo e internet com fibra óptica, com tubulações e caixas preparadas para entrada das operadoras. Rede interna em cabo coaxial (para TV) e par trançado ou fibra óptica (para internet).</w:t>
      </w:r>
    </w:p>
    <w:p>
      <w:pPr>
        <w:pStyle w:val="Heading2"/>
      </w:pPr>
      <w:r>
        <w:t>13.3 Antenas Coletivas</w:t>
      </w:r>
    </w:p>
    <w:p>
      <w:r/>
      <w:r>
        <w:rPr>
          <w:i/>
          <w:color w:val="D68C00"/>
        </w:rPr>
        <w:t>[SUGERIDO]</w:t>
      </w:r>
      <w:r>
        <w:t xml:space="preserve"> Sistema de antena coletiva de TV (VHF/UHF) instalada na cobertura, com distribuição por cabo coaxial para todas as unidades, conforme NBR 15604.</w:t>
      </w:r>
    </w:p>
    <w:p>
      <w:pPr>
        <w:pStyle w:val="Heading2"/>
      </w:pPr>
      <w:r>
        <w:t>13.4 Automação e Conectividade</w:t>
      </w:r>
    </w:p>
    <w:p>
      <w:r/>
      <w:r>
        <w:rPr>
          <w:i/>
          <w:color w:val="D68C00"/>
        </w:rPr>
        <w:t>[SUGERIDO]</w:t>
      </w:r>
      <w:r>
        <w:t xml:space="preserve"> Pré-instalação de infraestrutura para automação residencial (smart home), com eletrodutos e caixas de passagem para instalação futura de sensores, controladores, câmeras IP, fechaduras inteligentes e sistemas de controle por aplicativo.</w:t>
      </w:r>
    </w:p>
    <w:p>
      <w:pPr>
        <w:pStyle w:val="Heading1"/>
      </w:pPr>
      <w:r>
        <w:t>14. ELEVADORES</w:t>
      </w:r>
    </w:p>
    <w:p>
      <w:r>
        <w:br w:type="page"/>
      </w:r>
    </w:p>
    <w:p>
      <w:pPr>
        <w:pStyle w:val="Heading2"/>
      </w:pPr>
      <w:r>
        <w:t>14.1 Características Gerais</w:t>
      </w:r>
    </w:p>
    <w:p>
      <w:r/>
      <w:r>
        <w:rPr>
          <w:b/>
        </w:rPr>
        <w:t>Quantidade:</w:t>
      </w:r>
      <w:r>
        <w:t xml:space="preserve"> 3 elevadores</w:t>
      </w:r>
    </w:p>
    <w:p>
      <w:pPr>
        <w:pStyle w:val="ListBullet"/>
      </w:pPr>
      <w:r/>
      <w:r>
        <w:rPr>
          <w:b/>
        </w:rPr>
        <w:t>2 Elevadores Sociais:</w:t>
      </w:r>
      <w:r>
        <w:t xml:space="preserve"> Para transporte de passageiros</w:t>
      </w:r>
    </w:p>
    <w:p>
      <w:pPr>
        <w:pStyle w:val="ListBullet"/>
      </w:pPr>
      <w:r/>
      <w:r>
        <w:rPr>
          <w:b/>
        </w:rPr>
        <w:t>1 Elevador de Emergência:</w:t>
      </w:r>
      <w:r>
        <w:t xml:space="preserve"> Para uso prioritário de bombeiros e transporte em situações de emergência</w:t>
      </w:r>
    </w:p>
    <w:p>
      <w:r/>
      <w:r>
        <w:rPr>
          <w:i/>
          <w:color w:val="D68C00"/>
        </w:rPr>
        <w:t>[SUGERIDO]</w:t>
      </w:r>
      <w:r/>
    </w:p>
    <w:p>
      <w:pPr>
        <w:pStyle w:val="ListBullet"/>
      </w:pPr>
      <w:r/>
      <w:r>
        <w:rPr>
          <w:b/>
        </w:rPr>
        <w:t>Fabricante:</w:t>
      </w:r>
      <w:r>
        <w:t xml:space="preserve"> Atlas Schindler, ThyssenKrupp, Otis ou equivalente de qualidade comprovada</w:t>
      </w:r>
    </w:p>
    <w:p>
      <w:pPr>
        <w:pStyle w:val="ListBullet"/>
      </w:pPr>
      <w:r/>
      <w:r>
        <w:rPr>
          <w:b/>
        </w:rPr>
        <w:t>Capacidade:</w:t>
      </w:r>
      <w:r>
        <w:t xml:space="preserve"> 8 passageiros (630 kg) ou 10 passageiros (800 kg)</w:t>
      </w:r>
    </w:p>
    <w:p>
      <w:pPr>
        <w:pStyle w:val="ListBullet"/>
      </w:pPr>
      <w:r/>
      <w:r>
        <w:rPr>
          <w:b/>
        </w:rPr>
        <w:t>Velocidade:</w:t>
      </w:r>
      <w:r>
        <w:t xml:space="preserve"> 1,0 m/s a 1,5 m/s</w:t>
      </w:r>
    </w:p>
    <w:p>
      <w:pPr>
        <w:pStyle w:val="ListBullet"/>
      </w:pPr>
      <w:r/>
      <w:r>
        <w:rPr>
          <w:b/>
        </w:rPr>
        <w:t>Paradas:</w:t>
      </w:r>
      <w:r>
        <w:t xml:space="preserve"> 24 paradas (3 subsolos + térreo + lazer + 17 pavimentos tipo + ático + cobertura)</w:t>
      </w:r>
    </w:p>
    <w:p>
      <w:pPr>
        <w:pStyle w:val="ListBullet"/>
      </w:pPr>
      <w:r/>
      <w:r>
        <w:rPr>
          <w:b/>
        </w:rPr>
        <w:t>Portas:</w:t>
      </w:r>
      <w:r>
        <w:t xml:space="preserve"> Automáticas de abertura central, em aço inox escovado ou pintado, largura mínima de 80 cm</w:t>
      </w:r>
    </w:p>
    <w:p>
      <w:pPr>
        <w:pStyle w:val="ListBullet"/>
      </w:pPr>
      <w:r/>
      <w:r>
        <w:rPr>
          <w:b/>
        </w:rPr>
        <w:t>Cabine:</w:t>
      </w:r>
      <w:r>
        <w:t xml:space="preserve"> Revestimento interno em aço inox escovado ou espelhado, piso em granito ou porcelanato, teto com iluminação em LED e ventilação forçada</w:t>
      </w:r>
    </w:p>
    <w:p>
      <w:pPr>
        <w:pStyle w:val="Heading2"/>
      </w:pPr>
      <w:r>
        <w:t>14.2 Requisitos de Acessibilidade</w:t>
      </w:r>
    </w:p>
    <w:p>
      <w:r>
        <w:t>Pelo menos 1 elevador social com acessibilidade conforme NBR 9050 e NBR 13994:</w:t>
      </w:r>
    </w:p>
    <w:p>
      <w:pPr>
        <w:pStyle w:val="ListBullet"/>
      </w:pPr>
      <w:r>
        <w:t>Cabine com dimensões mínimas de 1,10 m × 1,40 m</w:t>
      </w:r>
    </w:p>
    <w:p>
      <w:pPr>
        <w:pStyle w:val="ListBullet"/>
      </w:pPr>
      <w:r>
        <w:t>Botoeiras com números em Braille e relevo</w:t>
      </w:r>
    </w:p>
    <w:p>
      <w:pPr>
        <w:pStyle w:val="ListBullet"/>
      </w:pPr>
      <w:r>
        <w:t>Espelho na parede oposta à porta para usuários de cadeira de rodas</w:t>
      </w:r>
    </w:p>
    <w:p>
      <w:pPr>
        <w:pStyle w:val="ListBullet"/>
      </w:pPr>
      <w:r>
        <w:t>Sinalização sonora de pavimentos</w:t>
      </w:r>
    </w:p>
    <w:p>
      <w:pPr>
        <w:pStyle w:val="Heading2"/>
      </w:pPr>
      <w:r>
        <w:t>14.3 Casa de Máquinas</w:t>
      </w:r>
    </w:p>
    <w:p>
      <w:r/>
      <w:r>
        <w:rPr>
          <w:i/>
          <w:color w:val="D68C00"/>
        </w:rPr>
        <w:t>[SUGERIDO]</w:t>
      </w:r>
      <w:r>
        <w:t xml:space="preserve"> Casa de máquinas instalada na cobertura, com ventilação adequada, iluminação artificial, piso antiderrapante e instalação de equipamentos de tração, painéis elétricos, inversores de frequência e sistemas de segurança.</w:t>
      </w:r>
    </w:p>
    <w:p>
      <w:pPr>
        <w:pStyle w:val="Heading2"/>
      </w:pPr>
      <w:r>
        <w:t>14.4 Sistema de Emergência</w:t>
      </w:r>
    </w:p>
    <w:p>
      <w:pPr>
        <w:pStyle w:val="ListBullet"/>
      </w:pPr>
      <w:r>
        <w:t>Sistema de resgate automático em caso de falta de energia (ARD — Automatic Rescue Device)</w:t>
      </w:r>
    </w:p>
    <w:p>
      <w:pPr>
        <w:pStyle w:val="ListBullet"/>
      </w:pPr>
      <w:r>
        <w:t>Iluminação de emergência na cabine</w:t>
      </w:r>
    </w:p>
    <w:p>
      <w:pPr>
        <w:pStyle w:val="ListBullet"/>
      </w:pPr>
      <w:r>
        <w:t>Interfone de emergência conectado à portaria</w:t>
      </w:r>
    </w:p>
    <w:p>
      <w:pPr>
        <w:pStyle w:val="ListBullet"/>
      </w:pPr>
      <w:r>
        <w:t>Sistema de detecção de sobrecarga</w:t>
      </w:r>
    </w:p>
    <w:p>
      <w:pPr>
        <w:pStyle w:val="Heading1"/>
      </w:pPr>
      <w:r>
        <w:t>15. PAISAGISMO E ÁREAS EXTERNAS</w:t>
      </w:r>
    </w:p>
    <w:p>
      <w:r>
        <w:br w:type="page"/>
      </w:r>
    </w:p>
    <w:p>
      <w:pPr>
        <w:pStyle w:val="Heading2"/>
      </w:pPr>
      <w:r>
        <w:t>15.1 Áreas Verdes e Jardins</w:t>
      </w:r>
    </w:p>
    <w:p>
      <w:r/>
      <w:r>
        <w:rPr>
          <w:i/>
          <w:color w:val="D68C00"/>
        </w:rPr>
        <w:t>[SUGERIDO]</w:t>
      </w:r>
      <w:r>
        <w:t xml:space="preserve"> Projeto de paisagismo para áreas externas, deck da piscina, jardineiras de fachada e áreas de convivência, incluindo:</w:t>
      </w:r>
    </w:p>
    <w:p>
      <w:pPr>
        <w:pStyle w:val="ListBullet"/>
      </w:pPr>
      <w:r>
        <w:t>Grama natural (tipo esmeralda ou similar) ou grama sintética em áreas de playground</w:t>
      </w:r>
    </w:p>
    <w:p>
      <w:pPr>
        <w:pStyle w:val="ListBullet"/>
      </w:pPr>
      <w:r>
        <w:t>Espécies vegetais ornamentais de médio e pequeno porte (palmeiras, arbustos, forração)</w:t>
      </w:r>
    </w:p>
    <w:p>
      <w:pPr>
        <w:pStyle w:val="ListBullet"/>
      </w:pPr>
      <w:r>
        <w:t>Sistema de irrigação automatizado com aspersores ou gotejamento</w:t>
      </w:r>
    </w:p>
    <w:p>
      <w:pPr>
        <w:pStyle w:val="ListBullet"/>
      </w:pPr>
      <w:r>
        <w:t>Iluminação de jardim com luminárias tipo balizador ou refletor de LED</w:t>
      </w:r>
    </w:p>
    <w:p>
      <w:pPr>
        <w:pStyle w:val="Heading2"/>
      </w:pPr>
      <w:r>
        <w:t>15.2 Deck e Piscina</w:t>
      </w:r>
    </w:p>
    <w:p>
      <w:r>
        <w:t>Conforme descrito anteriormente:</w:t>
      </w:r>
    </w:p>
    <w:p>
      <w:pPr>
        <w:pStyle w:val="ListBullet"/>
      </w:pPr>
      <w:r>
        <w:t>Deck em madeira plástica (WPC) ou madeira tratada</w:t>
      </w:r>
    </w:p>
    <w:p>
      <w:pPr>
        <w:pStyle w:val="ListBullet"/>
      </w:pPr>
      <w:r>
        <w:t>Piscina revestida com pastilha de vidro ou porcelana</w:t>
      </w:r>
    </w:p>
    <w:p>
      <w:pPr>
        <w:pStyle w:val="ListBullet"/>
      </w:pPr>
      <w:r>
        <w:t>Borda em granito ou porcelanato antiderrapante</w:t>
      </w:r>
    </w:p>
    <w:p>
      <w:pPr>
        <w:pStyle w:val="ListBullet"/>
      </w:pPr>
      <w:r>
        <w:t>Iluminação subaquática em LED RGB</w:t>
      </w:r>
    </w:p>
    <w:p>
      <w:pPr>
        <w:pStyle w:val="Heading2"/>
      </w:pPr>
      <w:r>
        <w:t>15.3 Playground</w:t>
      </w:r>
    </w:p>
    <w:p>
      <w:r>
        <w:t>Piso emborrachado (EPDM) ou grama sintética, instalação de brinquedos certificados pelo Inmetro, conforme NBR 16071. Cercamento com tela de proteção ou gradil baixo.</w:t>
      </w:r>
    </w:p>
    <w:p>
      <w:pPr>
        <w:pStyle w:val="Heading2"/>
      </w:pPr>
      <w:r>
        <w:t>15.4 Estacionamento de Bicicletas e Pet Place</w:t>
      </w:r>
    </w:p>
    <w:p>
      <w:r/>
      <w:r>
        <w:rPr>
          <w:i/>
          <w:color w:val="D68C00"/>
        </w:rPr>
        <w:t>[SUGERIDO]</w:t>
      </w:r>
      <w:r/>
    </w:p>
    <w:p>
      <w:pPr>
        <w:pStyle w:val="ListBullet"/>
      </w:pPr>
      <w:r/>
      <w:r>
        <w:rPr>
          <w:b/>
        </w:rPr>
        <w:t>Bicicletário:</w:t>
      </w:r>
      <w:r>
        <w:t xml:space="preserve"> Área coberta no térreo ou garagem com suportes para bicicletas, conforme Lei de Mobilidade Urbana</w:t>
      </w:r>
    </w:p>
    <w:p>
      <w:pPr>
        <w:pStyle w:val="ListBullet"/>
      </w:pPr>
      <w:r/>
      <w:r>
        <w:rPr>
          <w:b/>
        </w:rPr>
        <w:t>Pet Place:</w:t>
      </w:r>
      <w:r>
        <w:t xml:space="preserve"> Área de 80,74 m² com piso de fácil limpeza (cimentado ou com grama sintética), equipamentos para pets (brinquedos, obstáculos), torneira para higienização, e lixeira específica</w:t>
      </w:r>
    </w:p>
    <w:p>
      <w:pPr>
        <w:pStyle w:val="Heading2"/>
      </w:pPr>
      <w:r>
        <w:t>15.5 Acessibilidade</w:t>
      </w:r>
    </w:p>
    <w:p>
      <w:r>
        <w:t>Todos os acessos, circulações e áreas comuns devem atender à NBR 9050/2020:</w:t>
      </w:r>
    </w:p>
    <w:p>
      <w:pPr>
        <w:pStyle w:val="ListBullet"/>
      </w:pPr>
      <w:r>
        <w:t>Rampas com inclinação máxima de 8,33% (1:12)</w:t>
      </w:r>
    </w:p>
    <w:p>
      <w:pPr>
        <w:pStyle w:val="ListBullet"/>
      </w:pPr>
      <w:r>
        <w:t>Piso tátil direcional e de alerta</w:t>
      </w:r>
    </w:p>
    <w:p>
      <w:pPr>
        <w:pStyle w:val="ListBullet"/>
      </w:pPr>
      <w:r>
        <w:t>Vagas de estacionamento reservadas para pessoas com deficiência (mínimo 2% do total)</w:t>
      </w:r>
    </w:p>
    <w:p>
      <w:pPr>
        <w:pStyle w:val="ListBullet"/>
      </w:pPr>
      <w:r>
        <w:t>Banheiros acessíveis nas áreas de lazer</w:t>
      </w:r>
    </w:p>
    <w:p>
      <w:pPr>
        <w:pStyle w:val="Heading1"/>
      </w:pPr>
      <w:r>
        <w:t>16. OBSERVAÇÕES GERAIS</w:t>
      </w:r>
    </w:p>
    <w:p>
      <w:r>
        <w:br w:type="page"/>
      </w:r>
    </w:p>
    <w:p>
      <w:pPr>
        <w:pStyle w:val="Heading2"/>
      </w:pPr>
      <w:r>
        <w:t>16.1 Normas e Legislação Aplicáveis</w:t>
      </w:r>
    </w:p>
    <w:p>
      <w:r>
        <w:t>Todos os projetos e execuções deverão atender às normas técnicas da ABNT, legislação municipal de Itajaí/SC, Código de Obras, Plano Diretor, legislação estadual (IN 18 do CBMSC — Corpo de Bombeiros Militar de SC) e legislação federal aplicável (Código Civil, Lei de Responsabilidade Técnica, etc.).</w:t>
      </w:r>
    </w:p>
    <w:p>
      <w:pPr>
        <w:pStyle w:val="Heading2"/>
      </w:pPr>
      <w:r>
        <w:t>16.2 Desempenho (NBR 15575)</w:t>
      </w:r>
    </w:p>
    <w:p>
      <w:r>
        <w:t>O empreendimento deverá atender aos requisitos mínimos de desempenho conforme NBR 15575 (Norma de Desempenho de Edificações Habitacionais), incluindo:</w:t>
      </w:r>
    </w:p>
    <w:p>
      <w:pPr>
        <w:pStyle w:val="ListBullet"/>
      </w:pPr>
      <w:r>
        <w:t>Desempenho estrutural (segurança e estabilidade)</w:t>
      </w:r>
    </w:p>
    <w:p>
      <w:pPr>
        <w:pStyle w:val="ListBullet"/>
      </w:pPr>
      <w:r>
        <w:t>Segurança contra incêndio</w:t>
      </w:r>
    </w:p>
    <w:p>
      <w:pPr>
        <w:pStyle w:val="ListBullet"/>
      </w:pPr>
      <w:r>
        <w:t>Segurança no uso e operação</w:t>
      </w:r>
    </w:p>
    <w:p>
      <w:pPr>
        <w:pStyle w:val="ListBullet"/>
      </w:pPr>
      <w:r>
        <w:t>Estanqueidade (água e umidade)</w:t>
      </w:r>
    </w:p>
    <w:p>
      <w:pPr>
        <w:pStyle w:val="ListBullet"/>
      </w:pPr>
      <w:r>
        <w:t>Desempenho térmico</w:t>
      </w:r>
    </w:p>
    <w:p>
      <w:pPr>
        <w:pStyle w:val="ListBullet"/>
      </w:pPr>
      <w:r>
        <w:t>Desempenho acústico</w:t>
      </w:r>
    </w:p>
    <w:p>
      <w:pPr>
        <w:pStyle w:val="ListBullet"/>
      </w:pPr>
      <w:r>
        <w:t>Durabilidade e manutenibilidade</w:t>
      </w:r>
    </w:p>
    <w:p>
      <w:pPr>
        <w:pStyle w:val="ListBullet"/>
      </w:pPr>
      <w:r>
        <w:t>Conforto tátil e antropodinâmico</w:t>
      </w:r>
    </w:p>
    <w:p>
      <w:pPr>
        <w:pStyle w:val="ListBullet"/>
      </w:pPr>
      <w:r>
        <w:t>Adequação ambiental</w:t>
      </w:r>
    </w:p>
    <w:p>
      <w:pPr>
        <w:pStyle w:val="Heading2"/>
      </w:pPr>
      <w:r>
        <w:t>16.3 Garantias e Assistência Técnica</w:t>
      </w:r>
    </w:p>
    <w:p>
      <w:r>
        <w:t>Conforme Código de Defesa do Consumidor e NBR 15575:</w:t>
      </w:r>
    </w:p>
    <w:p>
      <w:pPr>
        <w:pStyle w:val="ListBullet"/>
      </w:pPr>
      <w:r/>
      <w:r>
        <w:rPr>
          <w:b/>
        </w:rPr>
        <w:t>Garantia Legal:</w:t>
      </w:r>
      <w:r>
        <w:t xml:space="preserve"> 5 anos para elementos estruturais (fundações, estrutura de concreto) e estanqueidade</w:t>
      </w:r>
    </w:p>
    <w:p>
      <w:pPr>
        <w:pStyle w:val="ListBullet"/>
      </w:pPr>
      <w:r/>
      <w:r>
        <w:rPr>
          <w:b/>
        </w:rPr>
        <w:t>Garantia Contratual:</w:t>
      </w:r>
      <w:r>
        <w:t xml:space="preserve"> Prazo adicional conforme definido em contrato de compra e venda</w:t>
      </w:r>
    </w:p>
    <w:p>
      <w:pPr>
        <w:pStyle w:val="ListBullet"/>
      </w:pPr>
      <w:r/>
      <w:r>
        <w:rPr>
          <w:b/>
        </w:rPr>
        <w:t>Assistência Técnica:</w:t>
      </w:r>
      <w:r>
        <w:t xml:space="preserve"> Atendimento de solicitações de reparos e correções durante o período de garantia</w:t>
      </w:r>
    </w:p>
    <w:p>
      <w:pPr>
        <w:pStyle w:val="Heading2"/>
      </w:pPr>
      <w:r>
        <w:t>16.4 Manuais e Documentação Técnica</w:t>
      </w:r>
    </w:p>
    <w:p>
      <w:r>
        <w:t>Ao final da obra, será entregue:</w:t>
      </w:r>
    </w:p>
    <w:p>
      <w:pPr>
        <w:pStyle w:val="ListBullet"/>
      </w:pPr>
      <w:r/>
      <w:r>
        <w:rPr>
          <w:b/>
        </w:rPr>
        <w:t>Manual do Proprietário:</w:t>
      </w:r>
      <w:r>
        <w:t xml:space="preserve"> Instruções de uso, operação e manutenção das unidades autônomas</w:t>
      </w:r>
    </w:p>
    <w:p>
      <w:pPr>
        <w:pStyle w:val="ListBullet"/>
      </w:pPr>
      <w:r/>
      <w:r>
        <w:rPr>
          <w:b/>
        </w:rPr>
        <w:t>Manual de Áreas Comuns:</w:t>
      </w:r>
      <w:r>
        <w:t xml:space="preserve"> Instruções de uso, operação e manutenção das áreas comuns do condomínio</w:t>
      </w:r>
    </w:p>
    <w:p>
      <w:pPr>
        <w:pStyle w:val="ListBullet"/>
      </w:pPr>
      <w:r/>
      <w:r>
        <w:rPr>
          <w:b/>
        </w:rPr>
        <w:t>Projetos "As Built":</w:t>
      </w:r>
      <w:r>
        <w:t xml:space="preserve"> Projetos conforme construído (arquitetônico, estrutural, elétrico, hidrossanitário, PPCI, etc.)</w:t>
      </w:r>
    </w:p>
    <w:p>
      <w:pPr>
        <w:pStyle w:val="ListBullet"/>
      </w:pPr>
      <w:r/>
      <w:r>
        <w:rPr>
          <w:b/>
        </w:rPr>
        <w:t>Laudos e Certificações:</w:t>
      </w:r>
      <w:r>
        <w:t xml:space="preserve"> Laudos de desempenho acústico, térmico, estanqueidade, AVCB (Auto de Vistoria do Corpo de Bombeiros), habite-se, certidões negativas de débitos de obra, etc.</w:t>
      </w:r>
    </w:p>
    <w:p>
      <w:pPr>
        <w:pStyle w:val="Heading2"/>
      </w:pPr>
      <w:r>
        <w:t>16.5 Sustentabilidade</w:t>
      </w:r>
    </w:p>
    <w:p>
      <w:r/>
      <w:r>
        <w:rPr>
          <w:i/>
          <w:color w:val="D68C00"/>
        </w:rPr>
        <w:t>[SUGERIDO]</w:t>
      </w:r>
      <w:r>
        <w:t xml:space="preserve"> Práticas sustentáveis a serem implementadas:</w:t>
      </w:r>
    </w:p>
    <w:p>
      <w:pPr>
        <w:pStyle w:val="ListBullet"/>
      </w:pPr>
      <w:r>
        <w:t>Uso de madeiras certificadas (FSC) ou de reflorestamento</w:t>
      </w:r>
    </w:p>
    <w:p>
      <w:pPr>
        <w:pStyle w:val="ListBullet"/>
      </w:pPr>
      <w:r>
        <w:t>Utilização de materiais reciclados ou recicláveis quando possível</w:t>
      </w:r>
    </w:p>
    <w:p>
      <w:pPr>
        <w:pStyle w:val="ListBullet"/>
      </w:pPr>
      <w:r>
        <w:t>Sistema de coleta seletiva de resíduos no condomínio</w:t>
      </w:r>
    </w:p>
    <w:p>
      <w:pPr>
        <w:pStyle w:val="ListBullet"/>
      </w:pPr>
      <w:r>
        <w:t>Iluminação em LED em todas as áreas comuns</w:t>
      </w:r>
    </w:p>
    <w:p>
      <w:pPr>
        <w:pStyle w:val="ListBullet"/>
      </w:pPr>
      <w:r>
        <w:t>Sensores de presença em áreas de circulação para economia de energia</w:t>
      </w:r>
    </w:p>
    <w:p>
      <w:pPr>
        <w:pStyle w:val="ListBullet"/>
      </w:pPr>
      <w:r>
        <w:t>Sistema de reuso de águas cinzas (opcional)</w:t>
      </w:r>
    </w:p>
    <w:p>
      <w:pPr>
        <w:pStyle w:val="ListBullet"/>
      </w:pPr>
      <w:r>
        <w:t>Sistema de captação e reuso de águas pluviais para irrigação (opcional)</w:t>
      </w:r>
    </w:p>
    <w:p>
      <w:pPr>
        <w:pStyle w:val="ListBullet"/>
      </w:pPr>
      <w:r>
        <w:t>Painéis fotovoltaicos para geração de energia elétrica nas áreas comuns (opcional)</w:t>
      </w:r>
    </w:p>
    <w:p>
      <w:pPr>
        <w:pStyle w:val="Heading2"/>
      </w:pPr>
      <w:r>
        <w:t>16.6 Cronograma Estimado de Obra</w:t>
      </w:r>
    </w:p>
    <w:p>
      <w:r/>
      <w:r>
        <w:rPr>
          <w:i/>
          <w:color w:val="D68C00"/>
        </w:rPr>
        <w:t>[SUGERIDO]</w:t>
      </w:r>
      <w:r>
        <w:t xml:space="preserve"> Prazo estimado de execução: 30 a 36 meses (2 anos e 6 meses a 3 anos), incluindo:</w:t>
      </w:r>
    </w:p>
    <w:p>
      <w:pPr>
        <w:pStyle w:val="ListBullet"/>
      </w:pPr>
      <w:r>
        <w:t>Fase 1 (6 meses): Demolições, escavação, contenção e fundações</w:t>
      </w:r>
    </w:p>
    <w:p>
      <w:pPr>
        <w:pStyle w:val="ListBullet"/>
      </w:pPr>
      <w:r>
        <w:t>Fase 2 (12 a 15 meses): Estrutura de concreto (subsolos, térreo, lazer, pavimentos tipo e cobertura)</w:t>
      </w:r>
    </w:p>
    <w:p>
      <w:pPr>
        <w:pStyle w:val="ListBullet"/>
      </w:pPr>
      <w:r>
        <w:t>Fase 3 (10 a 12 meses): Alvenaria, instalações, revestimentos e acabamentos</w:t>
      </w:r>
    </w:p>
    <w:p>
      <w:pPr>
        <w:pStyle w:val="ListBullet"/>
      </w:pPr>
      <w:r>
        <w:t>Fase 4 (2 a 3 meses): Limpeza final, testes, correções e entrega</w:t>
      </w:r>
    </w:p>
    <w:p>
      <w:pPr>
        <w:pStyle w:val="Heading2"/>
      </w:pPr>
      <w:r>
        <w:t>16.7 Observações sobre Especificações [SUGERIDO]</w:t>
      </w:r>
    </w:p>
    <w:p>
      <w:r>
        <w:t>As especificações marcadas como **</w:t>
      </w:r>
      <w:r>
        <w:rPr>
          <w:i/>
          <w:color w:val="D68C00"/>
        </w:rPr>
        <w:t>[SUGERIDO]</w:t>
      </w:r>
      <w:r/>
      <w:r>
        <w:rPr>
          <w:b/>
        </w:rPr>
        <w:t xml:space="preserve"> neste memorial descritivo representam o padrão técnico típico de empreendimentos de </w:t>
      </w:r>
      <w:r>
        <w:t>médio-alto padrão** em Itajaí/SC, e foram elaboradas com base em:</w:t>
      </w:r>
    </w:p>
    <w:p>
      <w:pPr>
        <w:pStyle w:val="ListBullet"/>
      </w:pPr>
      <w:r>
        <w:t>Boas práticas da engenharia civil e arquitetura</w:t>
      </w:r>
    </w:p>
    <w:p>
      <w:pPr>
        <w:pStyle w:val="ListBullet"/>
      </w:pPr>
      <w:r>
        <w:t>Normas técnicas da ABNT</w:t>
      </w:r>
    </w:p>
    <w:p>
      <w:pPr>
        <w:pStyle w:val="ListBullet"/>
      </w:pPr>
      <w:r>
        <w:t>Experiência de mercado da Cartesian Engenharia</w:t>
      </w:r>
    </w:p>
    <w:p>
      <w:pPr>
        <w:pStyle w:val="ListBullet"/>
      </w:pPr>
      <w:r>
        <w:t>Análise de empreendimentos comparáveis na região</w:t>
      </w:r>
    </w:p>
    <w:p>
      <w:r>
        <w:t xml:space="preserve">Estas especificações deverão ser </w:t>
      </w:r>
      <w:r>
        <w:rPr>
          <w:b/>
        </w:rPr>
        <w:t>validadas e ajustadas</w:t>
      </w:r>
      <w:r>
        <w:t xml:space="preserve"> conforme:</w:t>
      </w:r>
    </w:p>
    <w:p>
      <w:pPr>
        <w:pStyle w:val="ListBullet"/>
      </w:pPr>
      <w:r>
        <w:t>Memoriais descritivos definitivos fornecidos pelos projetistas (arquitetura, estrutura, instalações)</w:t>
      </w:r>
    </w:p>
    <w:p>
      <w:pPr>
        <w:pStyle w:val="ListBullet"/>
      </w:pPr>
      <w:r>
        <w:t>Definições comerciais e de produto do incorporador (Belli Empreendimentos)</w:t>
      </w:r>
    </w:p>
    <w:p>
      <w:pPr>
        <w:pStyle w:val="ListBullet"/>
      </w:pPr>
      <w:r>
        <w:t>Análise de viabilidade técnica e econômica do projeto</w:t>
      </w:r>
    </w:p>
    <w:p>
      <w:pPr>
        <w:pStyle w:val="ListBullet"/>
      </w:pPr>
      <w:r>
        <w:t>Disponibilidade de materiais e fornecedores na região</w:t>
      </w:r>
    </w:p>
    <w:p>
      <w:pPr>
        <w:pStyle w:val="Heading1"/>
      </w:pPr>
      <w:r>
        <w:t>17. RESPONSÁVEIS TÉCNICOS</w:t>
      </w:r>
    </w:p>
    <w:p>
      <w:r>
        <w:br w:type="page"/>
      </w:r>
    </w:p>
    <w:p>
      <w:r/>
      <w:r>
        <w:rPr>
          <w:b/>
        </w:rPr>
        <w:t>Arquitetura:</w:t>
      </w:r>
      <w:r/>
    </w:p>
    <w:p>
      <w:pPr>
        <w:pStyle w:val="ListBullet"/>
      </w:pPr>
      <w:r>
        <w:t>Arq. Simon Martignone — CAU-SC A165367-9</w:t>
      </w:r>
    </w:p>
    <w:p>
      <w:pPr>
        <w:pStyle w:val="ListBullet"/>
      </w:pPr>
      <w:r>
        <w:t>HAD Arquitetura e Design (Fachada Executiva)</w:t>
      </w:r>
    </w:p>
    <w:p>
      <w:r/>
      <w:r>
        <w:rPr>
          <w:b/>
        </w:rPr>
        <w:t>Estrutura:</w:t>
      </w:r>
      <w:r/>
    </w:p>
    <w:p>
      <w:pPr>
        <w:pStyle w:val="ListBullet"/>
      </w:pPr>
      <w:r>
        <w:t>[A definir] — Projeto estrutural em concreto armado e protendido</w:t>
      </w:r>
    </w:p>
    <w:p>
      <w:r/>
      <w:r>
        <w:rPr>
          <w:b/>
        </w:rPr>
        <w:t>Instalações Elétricas:</w:t>
      </w:r>
      <w:r/>
    </w:p>
    <w:p>
      <w:pPr>
        <w:pStyle w:val="ListBullet"/>
      </w:pPr>
      <w:r>
        <w:t>[A definir]</w:t>
      </w:r>
    </w:p>
    <w:p>
      <w:r/>
      <w:r>
        <w:rPr>
          <w:b/>
        </w:rPr>
        <w:t>Instalações Hidrossanitárias:</w:t>
      </w:r>
      <w:r/>
    </w:p>
    <w:p>
      <w:pPr>
        <w:pStyle w:val="ListBullet"/>
      </w:pPr>
      <w:r>
        <w:t>[A definir]</w:t>
      </w:r>
    </w:p>
    <w:p>
      <w:r/>
      <w:r>
        <w:rPr>
          <w:b/>
        </w:rPr>
        <w:t>Prevenção e Combate a Incêndio:</w:t>
      </w:r>
      <w:r/>
    </w:p>
    <w:p>
      <w:pPr>
        <w:pStyle w:val="ListBullet"/>
      </w:pPr>
      <w:r>
        <w:t>[A definir] — Eng. Civil ou Eng. de Segurança do Trabalho com ART de PPCI</w:t>
      </w:r>
    </w:p>
    <w:p>
      <w:r/>
      <w:r>
        <w:rPr>
          <w:b/>
        </w:rPr>
        <w:t>Coordenação e Compatibilização BIM:</w:t>
      </w:r>
      <w:r/>
    </w:p>
    <w:p>
      <w:pPr>
        <w:pStyle w:val="ListBullet"/>
      </w:pPr>
      <w:r>
        <w:t>[A definir] — Cartesian Engenharia (se aplicável)</w:t>
      </w:r>
    </w:p>
    <w:p>
      <w:pPr>
        <w:pStyle w:val="Heading1"/>
      </w:pPr>
      <w:r>
        <w:t>18. ANEXOS</w:t>
      </w:r>
    </w:p>
    <w:p>
      <w:r>
        <w:br w:type="page"/>
      </w:r>
    </w:p>
    <w:p>
      <w:r>
        <w:t>Para complementação deste memorial descritivo, consultar:</w:t>
      </w:r>
    </w:p>
    <w:p>
      <w:pPr>
        <w:pStyle w:val="ListBullet"/>
      </w:pPr>
      <w:r>
        <w:t>Projetos executivos de arquitetura (plantas, cortes, elevações, detalhes)</w:t>
      </w:r>
    </w:p>
    <w:p>
      <w:pPr>
        <w:pStyle w:val="ListBullet"/>
      </w:pPr>
      <w:r>
        <w:t>Projeto estrutural executivo (plantas de formas, armação, detalhes)</w:t>
      </w:r>
    </w:p>
    <w:p>
      <w:pPr>
        <w:pStyle w:val="ListBullet"/>
      </w:pPr>
      <w:r>
        <w:t>Projetos de instalações elétricas, hidrossanitárias, gás, PPCI e telecomunicações</w:t>
      </w:r>
    </w:p>
    <w:p>
      <w:pPr>
        <w:pStyle w:val="ListBullet"/>
      </w:pPr>
      <w:r>
        <w:t>Projeto de impermeabilização</w:t>
      </w:r>
    </w:p>
    <w:p>
      <w:pPr>
        <w:pStyle w:val="ListBullet"/>
      </w:pPr>
      <w:r>
        <w:t>Projeto de paisagismo</w:t>
      </w:r>
    </w:p>
    <w:p>
      <w:pPr>
        <w:pStyle w:val="ListBullet"/>
      </w:pPr>
      <w:r>
        <w:t>Especificações técnicas de materiais e equipamentos</w:t>
      </w:r>
    </w:p>
    <w:p>
      <w:pPr>
        <w:pStyle w:val="ListBullet"/>
      </w:pPr>
      <w:r>
        <w:t>Orçamento executivo detalhado</w:t>
      </w:r>
    </w:p>
    <w:p>
      <w:pPr>
        <w:pStyle w:val="ListBullet"/>
      </w:pPr>
      <w:r>
        <w:t>Cronograma físico-financeiro</w:t>
      </w:r>
    </w:p>
    <w:p>
      <w:r/>
      <w:r>
        <w:rPr>
          <w:b/>
        </w:rPr>
        <w:t>Elaborado por:</w:t>
      </w:r>
      <w:r>
        <w:t xml:space="preserve"> Cartesian Engenharia — Gestão de Obras</w:t>
      </w:r>
    </w:p>
    <w:p>
      <w:r/>
      <w:r>
        <w:rPr>
          <w:b/>
        </w:rPr>
        <w:t>Responsável Técnico:</w:t>
      </w:r>
      <w:r>
        <w:t xml:space="preserve"> [Inserir nome e CREA]</w:t>
      </w:r>
    </w:p>
    <w:p>
      <w:r/>
      <w:r>
        <w:rPr>
          <w:b/>
        </w:rPr>
        <w:t>Data de Elaboração:</w:t>
      </w:r>
      <w:r>
        <w:t xml:space="preserve"> Março/2026</w:t>
      </w:r>
    </w:p>
    <w:p>
      <w:r/>
      <w:r>
        <w:rPr>
          <w:b/>
        </w:rPr>
        <w:t>Revisão:</w:t>
      </w:r>
      <w:r>
        <w:t xml:space="preserve"> R00</w:t>
      </w:r>
    </w:p>
    <w:p>
      <w:r/>
      <w:r>
        <w:rPr>
          <w:b/>
        </w:rPr>
        <w:t>FIM DO MEMORIAL DESCRITIVO</w:t>
      </w:r>
      <w:r/>
    </w:p>
    <w:sectPr w:rsidR="00FC693F" w:rsidRPr="0006063C" w:rsidSect="00034616">
      <w:headerReference w:type="default" r:id="rId9"/>
      <w:footerReference w:type="default" r:id="rId10"/>
      <w:pgSz w:w="12240" w:h="15840"/>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5A5A"/>
        <w:sz w:val="18"/>
      </w:rPr>
      <w:t xml:space="preserve">Cartesian Engenharia | Confidencial  </w:t>
    </w:r>
    <w:r>
      <w:rPr>
        <w:rFonts w:ascii="Calibri" w:hAnsi="Calibri"/>
        <w:color w:val="5A5A5A"/>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i/>
        <w:color w:val="5A5A5A"/>
        <w:sz w:val="18"/>
      </w:rPr>
      <w:t>Memorial Descritivo — NOW Residence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4444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