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EXECUTIVO</w:t>
      </w:r>
    </w:p>
    <w:p>
      <w:r>
        <w:rPr>
          <w:rFonts w:ascii="Arial" w:hAnsi="Arial"/>
          <w:b/>
          <w:color w:val="2C3E50"/>
          <w:sz w:val="32"/>
        </w:rPr>
        <w:t>Orçamento Executivo Automatizado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13/04/2026 às 17:12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R$ 9.375.120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247,40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R$ 814.935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R$ 7.785.102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205,44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R$ 26.147.355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690,02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R$ 6.338.226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167,26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R$ 2.434.731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R$ 12.535.014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330,79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R$ 1.933.304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R$ 4.620.860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121,94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R$ 2.987.474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78,84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R$ 10.709.893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282,63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R$ 5.683.220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R$ 16.345.490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431,35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R$ 1.893.698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R$ 6.879.243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R$ 7.947.445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R$ 1.928.261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R$ 126.359.369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3.334,56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Movimentação de Terra</w:t>
      </w:r>
    </w:p>
    <w:p>
      <w:r>
        <w:rPr>
          <w:rFonts w:ascii="Arial" w:hAnsi="Arial"/>
          <w:b w:val="0"/>
          <w:i w:val="0"/>
          <w:sz w:val="18"/>
        </w:rPr>
        <w:t>• Revestimentos Internos (freq 1/5, fontes: f-nogueira-soberano)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3.334,56</w:t>
      </w:r>
    </w:p>
    <w:p>
      <w:r>
        <w:rPr>
          <w:rFonts w:ascii="Arial" w:hAnsi="Arial"/>
          <w:b w:val="0"/>
          <w:i w:val="0"/>
          <w:sz w:val="20"/>
        </w:rPr>
        <w:t>Total estimado: R$ 126.359.369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17:12</w:t>
      </w:r>
    </w:p>
    <w:p>
      <w:r>
        <w:br w:type="page"/>
      </w:r>
    </w:p>
    <w:p>
      <w:r>
        <w:rPr>
          <w:rFonts w:ascii="Arial" w:hAnsi="Arial"/>
          <w:b/>
          <w:color w:val="2C3E50"/>
          <w:sz w:val="28"/>
        </w:rPr>
        <w:t>9. Quantitativos extraídos do BIM (DXF)</w:t>
      </w:r>
    </w:p>
    <w:p>
      <w:r>
        <w:rPr>
          <w:rFonts w:ascii="Arial" w:hAnsi="Arial"/>
          <w:i/>
          <w:sz w:val="20"/>
        </w:rPr>
        <w:t>Esta seção complementa o orçamento automatizado com quantitativos extraídos diretamente dos arquivos DXF do projeto (ar-condicionado e exaustão de churrasqueira). Os números abaixo são literais do projeto, não vêm da base calibrada.</w:t>
      </w:r>
    </w:p>
    <w:p/>
    <w:p>
      <w:r>
        <w:rPr>
          <w:rFonts w:ascii="Arial" w:hAnsi="Arial"/>
          <w:b/>
          <w:color w:val="2C3E50"/>
          <w:sz w:val="24"/>
        </w:rPr>
        <w:t>9.1. Sistema de Ar-Condicionado</w:t>
      </w:r>
    </w:p>
    <w:p>
      <w:r>
        <w:rPr>
          <w:rFonts w:ascii="Arial" w:hAnsi="Arial"/>
          <w:i/>
          <w:sz w:val="20"/>
        </w:rPr>
        <w:t>Extraído de dxf-arcondicionado/quantitativos-processados-r05.md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Equipamento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Qtd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Potência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Evaporadoras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80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1.266.000 BTU/h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~105,5 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Condensadoras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117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1.656.000 BTU/h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~138,0 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Total geral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197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**138 TR (carga térmica total)**</w:t>
            </w:r>
          </w:p>
        </w:tc>
      </w:tr>
    </w:tbl>
    <w:p>
      <w:r>
        <w:rPr>
          <w:rFonts w:ascii="Arial" w:hAnsi="Arial"/>
          <w:i w:val="0"/>
          <w:sz w:val="20"/>
        </w:rPr>
        <w:t>Distribuição: Térreo, Lazer, Pavimentos Tipo (×24)</w:t>
      </w:r>
    </w:p>
    <w:p>
      <w:r>
        <w:rPr>
          <w:rFonts w:ascii="Arial" w:hAnsi="Arial"/>
          <w:i w:val="0"/>
          <w:sz w:val="20"/>
        </w:rPr>
        <w:t>Modelo predominante: Splits 9k/12k/18k/24k/30k BTU/h</w:t>
      </w:r>
    </w:p>
    <w:p>
      <w:r>
        <w:rPr>
          <w:rFonts w:ascii="Arial" w:hAnsi="Arial"/>
          <w:i w:val="0"/>
          <w:sz w:val="20"/>
        </w:rPr>
        <w:t>Potência média por evaporadora: 15.825 BTU/h</w:t>
      </w:r>
    </w:p>
    <w:p>
      <w:r>
        <w:rPr>
          <w:rFonts w:ascii="Arial" w:hAnsi="Arial"/>
          <w:i w:val="0"/>
          <w:sz w:val="20"/>
        </w:rPr>
        <w:t>Potência média por condensadora: 14.154 BTU/h</w:t>
      </w:r>
    </w:p>
    <w:p/>
    <w:p>
      <w:r>
        <w:rPr>
          <w:rFonts w:ascii="Arial" w:hAnsi="Arial"/>
          <w:b/>
          <w:color w:val="2C3E50"/>
          <w:sz w:val="24"/>
        </w:rPr>
        <w:t>9.2. Sistema de Exaustão de Churrasqueiras</w:t>
      </w:r>
    </w:p>
    <w:p>
      <w:r>
        <w:rPr>
          <w:rFonts w:ascii="Arial" w:hAnsi="Arial"/>
          <w:i/>
          <w:sz w:val="20"/>
        </w:rPr>
        <w:t>Extraído de dxf-exaustao/RESUMO-EXTRACAO.md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Qtd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Churrasqueiras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195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Exaustores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TCV 710 Berliner Luft, 10.600 m³/h, 3,0 kW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Inversores de frequência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obrigatórios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Dutos galvanizado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1.400-1.720 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chapa #24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Prumadas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>
      <w:r>
        <w:rPr>
          <w:rFonts w:ascii="Arial" w:hAnsi="Arial"/>
          <w:i w:val="0"/>
          <w:sz w:val="20"/>
        </w:rPr>
        <w:t>Estimativa de custo: R$ 1.100.000 - R$ 1.800.000 (±10-15% incerteza)</w:t>
      </w:r>
    </w:p>
    <w:p/>
    <w:p>
      <w:r>
        <w:rPr>
          <w:rFonts w:ascii="Arial" w:hAnsi="Arial"/>
          <w:b/>
          <w:color w:val="2C3E50"/>
          <w:sz w:val="24"/>
        </w:rPr>
        <w:t>9.3. Coerência com o orçamento automatizado</w:t>
      </w:r>
    </w:p>
    <w:p>
      <w:r>
        <w:rPr>
          <w:rFonts w:ascii="Arial" w:hAnsi="Arial"/>
          <w:i w:val="0"/>
          <w:sz w:val="20"/>
        </w:rPr>
        <w:t>Os valores acima estão CONSOLIDADOS dentro dos macrogrupos correspondentes do executivo automatizado:</w:t>
      </w:r>
    </w:p>
    <w:p>
      <w:r>
        <w:rPr>
          <w:rFonts w:ascii="Arial" w:hAnsi="Arial"/>
          <w:i w:val="0"/>
          <w:sz w:val="20"/>
        </w:rPr>
        <w:t>• AC e exaustão entram no macrogrupo Climatização (R$ 51,02/m² × 37.894 m² = R$ 1.933.000) e parcialmente em Sistemas Especiais</w:t>
      </w:r>
    </w:p>
    <w:p>
      <w:r>
        <w:rPr>
          <w:rFonts w:ascii="Arial" w:hAnsi="Arial"/>
          <w:i w:val="0"/>
          <w:sz w:val="20"/>
        </w:rPr>
        <w:t>• A estimativa BIM da exaustão (R$ 1,1-1,8M) e do AC (138 TR × R$ 6.000-9.000/TR ≈ R$ 828k-1,2M) total em R$ 2-3M, levemente acima do calibrado (R$ 1,9M de Climatização)</w:t>
      </w:r>
    </w:p>
    <w:p>
      <w:r>
        <w:rPr>
          <w:rFonts w:ascii="Arial" w:hAnsi="Arial"/>
          <w:i w:val="0"/>
          <w:sz w:val="20"/>
        </w:rPr>
        <w:t>• Sugere-se ajuste fino manual no executivo para refletir os valores BIM exatos</w:t>
      </w:r>
    </w:p>
    <w:p/>
    <w:p>
      <w:r>
        <w:rPr>
          <w:rFonts w:ascii="Arial" w:hAnsi="Arial"/>
          <w:b/>
          <w:color w:val="2C3E50"/>
          <w:sz w:val="24"/>
        </w:rPr>
        <w:t>9.4. Próximas extrações pendentes</w:t>
      </w:r>
    </w:p>
    <w:p>
      <w:r>
        <w:rPr>
          <w:rFonts w:ascii="Arial" w:hAnsi="Arial"/>
          <w:i w:val="0"/>
          <w:sz w:val="20"/>
        </w:rPr>
        <w:t>Conforme RESUMO-EXTRACAO.md do BIM, faltam ainda extrair:</w:t>
      </w:r>
    </w:p>
    <w:p>
      <w:r>
        <w:rPr>
          <w:rFonts w:ascii="Arial" w:hAnsi="Arial"/>
          <w:i w:val="0"/>
          <w:sz w:val="20"/>
        </w:rPr>
        <w:t>• Tubulações frigoríficas (layers específicos)</w:t>
      </w:r>
    </w:p>
    <w:p>
      <w:r>
        <w:rPr>
          <w:rFonts w:ascii="Arial" w:hAnsi="Arial"/>
          <w:i w:val="0"/>
          <w:sz w:val="20"/>
        </w:rPr>
        <w:t>• Linhas de dreno</w:t>
      </w:r>
    </w:p>
    <w:p>
      <w:r>
        <w:rPr>
          <w:rFonts w:ascii="Arial" w:hAnsi="Arial"/>
          <w:i w:val="0"/>
          <w:sz w:val="20"/>
        </w:rPr>
        <w:t>• Instalações elétricas dos splits</w:t>
      </w:r>
    </w:p>
    <w:p>
      <w:r>
        <w:rPr>
          <w:rFonts w:ascii="Arial" w:hAnsi="Arial"/>
          <w:i w:val="0"/>
          <w:sz w:val="20"/>
        </w:rPr>
        <w:t>• Suportes e acessórios (atualmente estimados por quantidade de equipamentos)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