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  <w:spacing w:before="0" w:after="0"/>
      </w:pPr>
      <w:r>
        <w:rPr>
          <w:rFonts w:ascii="Times New Roman" w:hAnsi="Times New Roman" w:cs="Times New Roman"/>
          <w:b w:val="0"/>
          <w:i w:val="0"/>
          <w:sz w:val="22"/>
        </w:rPr>
        <w:t>МИНИСТЕРСТВО ОБРАЗОВАНИЯ И НАУКИ</w:t>
      </w:r>
    </w:p>
    <w:p>
      <w:pPr>
        <w:jc w:val="center"/>
        <w:spacing w:before="0" w:after="400"/>
      </w:pPr>
      <w:r>
        <w:rPr>
          <w:rFonts w:ascii="Times New Roman" w:hAnsi="Times New Roman" w:cs="Times New Roman"/>
          <w:b w:val="0"/>
          <w:i w:val="0"/>
          <w:sz w:val="22"/>
        </w:rPr>
        <w:t>Программа профессиональной переподготовки «Управление проектами»</w:t>
      </w:r>
    </w:p>
    <w:p>
      <w:pPr>
        <w:jc w:val="right"/>
        <w:spacing w:before="0" w:after="40"/>
      </w:pPr>
      <w:r>
        <w:rPr>
          <w:rFonts w:ascii="Times New Roman" w:hAnsi="Times New Roman" w:cs="Times New Roman"/>
          <w:b/>
          <w:i w:val="0"/>
          <w:sz w:val="24"/>
        </w:rPr>
        <w:t>УТВЕРЖДАЮ</w:t>
      </w:r>
    </w:p>
    <w:p>
      <w:pPr>
        <w:jc w:val="right"/>
        <w:spacing w:before="0" w:after="40"/>
      </w:pPr>
      <w:r>
        <w:rPr>
          <w:rFonts w:ascii="Times New Roman" w:hAnsi="Times New Roman" w:cs="Times New Roman"/>
          <w:b w:val="0"/>
          <w:i w:val="0"/>
          <w:sz w:val="22"/>
        </w:rPr>
        <w:t>Научный руководитель дипломной работы</w:t>
      </w:r>
    </w:p>
    <w:p>
      <w:pPr>
        <w:jc w:val="right"/>
        <w:spacing w:before="0" w:after="800"/>
      </w:pPr>
      <w:r>
        <w:rPr>
          <w:rFonts w:ascii="Times New Roman" w:hAnsi="Times New Roman" w:cs="Times New Roman"/>
          <w:b w:val="0"/>
          <w:i w:val="0"/>
          <w:sz w:val="22"/>
        </w:rPr>
        <w:t>__________________ «___» __________ 2026 г.</w:t>
      </w:r>
    </w:p>
    <w:p>
      <w:pPr>
        <w:jc w:val="center"/>
        <w:spacing w:before="0" w:after="120"/>
        <w:pBdr>
          <w:bottom w:val="single" w:sz="12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40"/>
        </w:rPr>
        <w:t>ТЕХНИЧЕСКОЕ ЗАДАНИЕ</w:t>
      </w:r>
    </w:p>
    <w:p>
      <w:pPr>
        <w:jc w:val="center"/>
        <w:spacing w:before="80" w:after="400"/>
      </w:pPr>
      <w:r>
        <w:rPr>
          <w:rFonts w:ascii="Times New Roman" w:hAnsi="Times New Roman" w:cs="Times New Roman"/>
          <w:b w:val="0"/>
          <w:i w:val="0"/>
          <w:sz w:val="28"/>
        </w:rPr>
        <w:t>на разработку программного обеспечения</w:t>
      </w:r>
    </w:p>
    <w:p>
      <w:pPr>
        <w:jc w:val="center"/>
        <w:spacing w:before="0" w:after="80"/>
      </w:pPr>
      <w:r>
        <w:rPr>
          <w:rFonts w:ascii="Times New Roman" w:hAnsi="Times New Roman" w:cs="Times New Roman"/>
          <w:b/>
          <w:i w:val="0"/>
          <w:sz w:val="36"/>
        </w:rPr>
        <w:t>MVP ВЕБ-ПРИЛОЖЕНИЕ</w:t>
      </w:r>
    </w:p>
    <w:p>
      <w:pPr>
        <w:jc w:val="center"/>
        <w:spacing w:before="0" w:after="80"/>
      </w:pPr>
      <w:r>
        <w:rPr>
          <w:rFonts w:ascii="Times New Roman" w:hAnsi="Times New Roman" w:cs="Times New Roman"/>
          <w:b/>
          <w:i w:val="0"/>
          <w:color w:val="1F3864"/>
          <w:sz w:val="32"/>
        </w:rPr>
        <w:t>«GTCP — Gas Trading &amp; Commercial Platform»</w:t>
      </w:r>
    </w:p>
    <w:p>
      <w:pPr>
        <w:jc w:val="center"/>
        <w:spacing w:before="0" w:after="600"/>
      </w:pPr>
      <w:r>
        <w:rPr>
          <w:rFonts w:ascii="Times New Roman" w:hAnsi="Times New Roman" w:cs="Times New Roman"/>
          <w:b w:val="0"/>
          <w:i/>
          <w:sz w:val="26"/>
        </w:rPr>
        <w:t>(Газовая торговая и коммерческая платформа)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</w:tcPr>
          <w:p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Обозначение документа: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GTCP-ТЗ-MVP-2026</w:t>
            </w:r>
          </w:p>
        </w:tc>
      </w:tr>
      <w:tr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</w:tcPr>
          <w:p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Версия: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</w:tcPr>
          <w:p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Дата составления: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23 марта 2026 г.</w:t>
            </w:r>
          </w:p>
        </w:tc>
      </w:tr>
      <w:tr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</w:tcPr>
          <w:p>
            <w:pPr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Статус: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Действующий</w:t>
            </w:r>
          </w:p>
        </w:tc>
      </w:tr>
    </w:tbl>
    <w:p/>
    <w:p/>
    <w:p/>
    <w:p/>
    <w:p>
      <w:pPr>
        <w:jc w:val="center"/>
        <w:spacing w:before="0" w:after="40"/>
      </w:pPr>
      <w:r>
        <w:rPr>
          <w:rFonts w:ascii="Times New Roman" w:hAnsi="Times New Roman" w:cs="Times New Roman"/>
          <w:b w:val="0"/>
          <w:i w:val="0"/>
          <w:sz w:val="22"/>
        </w:rPr>
        <w:t>Составитель: Кравчук Л.А., слушатель курса «Управление проектами»</w:t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4"/>
        </w:rPr>
        <w:t>2026</w:t>
      </w:r>
    </w:p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СОДЕРЖАНИЕ</w:t>
      </w:r>
    </w:p>
    <w:p>
      <w:pPr>
        <w:jc w:val="both"/>
        <w:spacing w:before="20" w:after="20"/>
      </w:pPr>
      <w:r>
        <w:rPr>
          <w:rFonts w:ascii="Times New Roman" w:hAnsi="Times New Roman" w:cs="Times New Roman"/>
          <w:b/>
          <w:i w:val="0"/>
          <w:sz w:val="24"/>
        </w:rPr>
        <w:t>1.  Общие сведения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............................................ 3</w:t>
      </w:r>
    </w:p>
    <w:p>
      <w:pPr>
        <w:jc w:val="both"/>
        <w:spacing w:before="20" w:after="20"/>
      </w:pPr>
      <w:r>
        <w:rPr>
          <w:rFonts w:ascii="Times New Roman" w:hAnsi="Times New Roman" w:cs="Times New Roman"/>
          <w:b/>
          <w:i w:val="0"/>
          <w:sz w:val="24"/>
        </w:rPr>
        <w:t>2.  Назначение и цели создания системы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........................ 4</w:t>
      </w:r>
    </w:p>
    <w:p>
      <w:pPr>
        <w:jc w:val="both"/>
        <w:spacing w:before="20" w:after="20"/>
      </w:pPr>
      <w:r>
        <w:rPr>
          <w:rFonts w:ascii="Times New Roman" w:hAnsi="Times New Roman" w:cs="Times New Roman"/>
          <w:b/>
          <w:i w:val="0"/>
          <w:sz w:val="24"/>
        </w:rPr>
        <w:t>3.  Характеристика объекта автоматизации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...................... 5</w:t>
      </w:r>
    </w:p>
    <w:p>
      <w:pPr>
        <w:jc w:val="both"/>
        <w:spacing w:before="20" w:after="20"/>
      </w:pPr>
      <w:r>
        <w:rPr>
          <w:rFonts w:ascii="Times New Roman" w:hAnsi="Times New Roman" w:cs="Times New Roman"/>
          <w:b/>
          <w:i w:val="0"/>
          <w:sz w:val="24"/>
        </w:rPr>
        <w:t>4.  Требования к системе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...................................... 6</w:t>
      </w:r>
    </w:p>
    <w:p>
      <w:pPr>
        <w:jc w:val="both"/>
        <w:spacing w:before="20" w:after="20"/>
      </w:pPr>
      <w:r>
        <w:rPr>
          <w:rFonts w:ascii="Times New Roman" w:hAnsi="Times New Roman" w:cs="Times New Roman"/>
          <w:b w:val="0"/>
          <w:i w:val="0"/>
          <w:sz w:val="24"/>
        </w:rPr>
        <w:t>4.1.  Требования к функциям и задачам ......................... 6</w:t>
      </w:r>
    </w:p>
    <w:p>
      <w:pPr>
        <w:jc w:val="both"/>
        <w:spacing w:before="20" w:after="20"/>
      </w:pPr>
      <w:r>
        <w:rPr>
          <w:rFonts w:ascii="Times New Roman" w:hAnsi="Times New Roman" w:cs="Times New Roman"/>
          <w:b w:val="0"/>
          <w:i w:val="0"/>
          <w:sz w:val="24"/>
        </w:rPr>
        <w:t>4.2.  Требования к составу модулей ............................ 8</w:t>
      </w:r>
    </w:p>
    <w:p>
      <w:pPr>
        <w:jc w:val="both"/>
        <w:spacing w:before="20" w:after="20"/>
      </w:pPr>
      <w:r>
        <w:rPr>
          <w:rFonts w:ascii="Times New Roman" w:hAnsi="Times New Roman" w:cs="Times New Roman"/>
          <w:b w:val="0"/>
          <w:i w:val="0"/>
          <w:sz w:val="24"/>
        </w:rPr>
        <w:t>4.3.  Требования к надёжности ................................. 11</w:t>
      </w:r>
    </w:p>
    <w:p>
      <w:pPr>
        <w:jc w:val="both"/>
        <w:spacing w:before="20" w:after="20"/>
      </w:pPr>
      <w:r>
        <w:rPr>
          <w:rFonts w:ascii="Times New Roman" w:hAnsi="Times New Roman" w:cs="Times New Roman"/>
          <w:b w:val="0"/>
          <w:i w:val="0"/>
          <w:sz w:val="24"/>
        </w:rPr>
        <w:t>4.4.  Требования к безопасности ............................... 12</w:t>
      </w:r>
    </w:p>
    <w:p>
      <w:pPr>
        <w:jc w:val="both"/>
        <w:spacing w:before="20" w:after="20"/>
      </w:pPr>
      <w:r>
        <w:rPr>
          <w:rFonts w:ascii="Times New Roman" w:hAnsi="Times New Roman" w:cs="Times New Roman"/>
          <w:b w:val="0"/>
          <w:i w:val="0"/>
          <w:sz w:val="24"/>
        </w:rPr>
        <w:t>4.5.  Требования к интерфейсу пользователя .................... 13</w:t>
      </w:r>
    </w:p>
    <w:p>
      <w:pPr>
        <w:jc w:val="both"/>
        <w:spacing w:before="20" w:after="20"/>
      </w:pPr>
      <w:r>
        <w:rPr>
          <w:rFonts w:ascii="Times New Roman" w:hAnsi="Times New Roman" w:cs="Times New Roman"/>
          <w:b w:val="0"/>
          <w:i w:val="0"/>
          <w:sz w:val="24"/>
        </w:rPr>
        <w:t>4.6.  Требования к техническому обеспечению ................... 14</w:t>
      </w:r>
    </w:p>
    <w:p>
      <w:pPr>
        <w:jc w:val="both"/>
        <w:spacing w:before="20" w:after="20"/>
      </w:pPr>
      <w:r>
        <w:rPr>
          <w:rFonts w:ascii="Times New Roman" w:hAnsi="Times New Roman" w:cs="Times New Roman"/>
          <w:b w:val="0"/>
          <w:i w:val="0"/>
          <w:sz w:val="24"/>
        </w:rPr>
        <w:t>4.7.  Требования к программному обеспечению ................... 14</w:t>
      </w:r>
    </w:p>
    <w:p>
      <w:pPr>
        <w:jc w:val="both"/>
        <w:spacing w:before="20" w:after="20"/>
      </w:pPr>
      <w:r>
        <w:rPr>
          <w:rFonts w:ascii="Times New Roman" w:hAnsi="Times New Roman" w:cs="Times New Roman"/>
          <w:b/>
          <w:i w:val="0"/>
          <w:sz w:val="24"/>
        </w:rPr>
        <w:t>5.  Состав и содержание работ по созданию системы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............. 15</w:t>
      </w:r>
    </w:p>
    <w:p>
      <w:pPr>
        <w:jc w:val="both"/>
        <w:spacing w:before="20" w:after="20"/>
      </w:pPr>
      <w:r>
        <w:rPr>
          <w:rFonts w:ascii="Times New Roman" w:hAnsi="Times New Roman" w:cs="Times New Roman"/>
          <w:b/>
          <w:i w:val="0"/>
          <w:sz w:val="24"/>
        </w:rPr>
        <w:t>6.  Порядок контроля и приёмки системы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........................ 17</w:t>
      </w:r>
    </w:p>
    <w:p>
      <w:pPr>
        <w:jc w:val="both"/>
        <w:spacing w:before="20" w:after="20"/>
      </w:pPr>
      <w:r>
        <w:rPr>
          <w:rFonts w:ascii="Times New Roman" w:hAnsi="Times New Roman" w:cs="Times New Roman"/>
          <w:b/>
          <w:i w:val="0"/>
          <w:sz w:val="24"/>
        </w:rPr>
        <w:t>7.  Требования к составу и содержанию документации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............ 18</w:t>
      </w:r>
    </w:p>
    <w:p>
      <w:pPr>
        <w:jc w:val="both"/>
        <w:spacing w:before="20" w:after="20"/>
      </w:pPr>
      <w:r>
        <w:rPr>
          <w:rFonts w:ascii="Times New Roman" w:hAnsi="Times New Roman" w:cs="Times New Roman"/>
          <w:b/>
          <w:i w:val="0"/>
          <w:sz w:val="24"/>
        </w:rPr>
        <w:t>8.  Источники разработки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...................................... 19</w:t>
      </w:r>
    </w:p>
    <w:p>
      <w:pPr>
        <w:jc w:val="both"/>
        <w:spacing w:before="20" w:after="20"/>
      </w:pPr>
      <w:r>
        <w:rPr>
          <w:rFonts w:ascii="Times New Roman" w:hAnsi="Times New Roman" w:cs="Times New Roman"/>
          <w:b/>
          <w:i w:val="0"/>
          <w:sz w:val="24"/>
        </w:rPr>
        <w:t>Приложение А.  Глоссарий терминов ETRM/GTCP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................... 20</w:t>
      </w:r>
    </w:p>
    <w:p>
      <w:pPr>
        <w:jc w:val="both"/>
        <w:spacing w:before="20" w:after="20"/>
      </w:pPr>
      <w:r>
        <w:rPr>
          <w:rFonts w:ascii="Times New Roman" w:hAnsi="Times New Roman" w:cs="Times New Roman"/>
          <w:b/>
          <w:i w:val="0"/>
          <w:sz w:val="24"/>
        </w:rPr>
        <w:t>Приложение Б.  Прототип интерфейса — описание экранов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......... 21</w:t>
      </w:r>
    </w:p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1. ОБЩИЕ СВЕДЕНИЯ</w:t>
      </w:r>
    </w:p>
    <w:p>
      <w:pPr>
        <w:ind w:firstLine="709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Настоящее техническое задание (далее — ТЗ) разработано в соответствии с требованиями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 и определяет требования к созданию MVP (Minimum Viable Product) веб-приложения Gas Trading &amp; Commercial Platform (GTCP).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2E4D7B"/>
          <w:sz w:val="26"/>
        </w:rPr>
        <w:t>Наименование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685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Параметр</w:t>
            </w:r>
          </w:p>
        </w:tc>
        <w:tc>
          <w:tcPr>
            <w:tcW w:type="dxa" w:w="5953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Полное наименование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MVP веб-приложение «Gas Trading &amp; Commercial Platform» (GTCP)</w:t>
            </w:r>
          </w:p>
        </w:tc>
      </w:tr>
      <w:tr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Сокращённое наименование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GTCP MVP</w:t>
            </w:r>
          </w:p>
        </w:tc>
      </w:tr>
      <w:tr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Тип системы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Веб-приложение класса ETRM (Energy Trading &amp; Risk Management)</w:t>
            </w:r>
          </w:p>
        </w:tc>
      </w:tr>
      <w:tr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Вид разработки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Создание нового программного продукта с нуля</w:t>
            </w:r>
          </w:p>
        </w:tc>
      </w:tr>
      <w:tr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Основание для разработки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Дипломная работа по программе «Управление проектами» (PMNPRO)</w:t>
            </w:r>
          </w:p>
        </w:tc>
      </w:tr>
      <w:tr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Заказчик (условный)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ООО «Газовая Торговая Компания» / учебный проект</w:t>
            </w:r>
          </w:p>
        </w:tc>
      </w:tr>
      <w:tr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Исполнитель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Кравчук Л.А.</w:t>
            </w:r>
          </w:p>
        </w:tc>
      </w:tr>
      <w:tr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Срок реализации MVP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 месяца (март — апрель 2026 г.)</w:t>
            </w:r>
          </w:p>
        </w:tc>
      </w:tr>
    </w:tbl>
    <w:p/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2E4D7B"/>
          <w:sz w:val="26"/>
        </w:rPr>
        <w:t>Нормативные ссылки</w:t>
      </w:r>
    </w:p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При разработке настоящего ТЗ использованы следующие нормативные документы: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ГОСТ 34.602-2020 — ТЗ на создание автоматизированной системы;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ГОСТ Р 54869-2011 — Управление проектами. Требования к управлению проектом;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ГОСТ Р ИСО/МЭК 25010-2015 — Требования и оценка качества ПО;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ISO 27001:2022 — Информационная безопасность;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Внутренние регламенты торговли природным газом на транзитных точках (Хоргош, Господжинцы);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Network Code on Capacity Allocation Mechanisms (CAM NC), EU Regulation 984/2013.</w:t>
      </w:r>
    </w:p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2. НАЗНАЧЕНИЕ И ЦЕЛИ СОЗДАНИЯ СИСТЕМЫ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2E4D7B"/>
          <w:sz w:val="26"/>
        </w:rPr>
        <w:t>Назначение системы</w:t>
      </w:r>
    </w:p>
    <w:p>
      <w:pPr>
        <w:ind w:firstLine="709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GTCP MVP — это специализированная информационная система класса ETRM (Energy Trading &amp; Risk Management), предназначенная для автоматизации коммерческой деятельности компании — оператора газовых транзитных мощностей на границах Сербии (точки Хоргош и Господжинцы, коридор Центральная Европа — Балканы).</w:t>
      </w:r>
    </w:p>
    <w:p>
      <w:pPr>
        <w:ind w:firstLine="709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Система охватывает полный операционный цикл: от регистрации заявок грузоотправителей на транзит и управления номинациями до выставления счётов, мониторинга кредитных лимитов и контроля баланса мощностей.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2E4D7B"/>
          <w:sz w:val="26"/>
        </w:rPr>
        <w:t>Цели создания системы</w:t>
      </w:r>
    </w:p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Стратегические цели разработки GTCP MVP: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Цифровизация коммерческих операций: перевод процессов номинации, матчинга и выставления счётов из ручного (Excel/email) режима в автоматизированную платформу;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Управление рисками в реальном времени: автоматический мониторинг кредитных лимитов контрагентов, формирование Margin Call уведомлений при превышении;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Прозрачность и аудируемость: полная история всех транзакций, статусов и изменений с привязкой к пользователям и временным меткам;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Интеграционный потенциал: архитектура API-first, готовность к подключению к внешним системам (TSO балансировочные платформы, 1С ERP, ENTSO-G);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Снижение операционных рисков: исключение ошибок ручного ввода, автоматические проверки лимитов и балансов.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2E4D7B"/>
          <w:sz w:val="26"/>
        </w:rPr>
        <w:t>Целевые показатели эффективности (KPI)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KPI</w:t>
            </w:r>
          </w:p>
        </w:tc>
        <w:tc>
          <w:tcPr>
            <w:tcW w:type="dxa" w:w="198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Текущее состояние</w:t>
              <w:br/>
              <w:t>(«As Is»)</w:t>
            </w:r>
          </w:p>
        </w:tc>
        <w:tc>
          <w:tcPr>
            <w:tcW w:type="dxa" w:w="198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Целевое значение</w:t>
              <w:br/>
              <w:t>(«To Be»)</w:t>
            </w:r>
          </w:p>
        </w:tc>
        <w:tc>
          <w:tcPr>
            <w:tcW w:type="dxa" w:w="3118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Метод измерения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Время обработки номинации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30–60 мин (email)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 5 мин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Журнал событий системы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Время выявления превышения кредитного лимита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1–24 часа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 1 мин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Автоалерт в дашборде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Ошибки при выставлении счётов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3–5% (ручной ввод)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0% (автоформирование)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Аудит счётов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Время подготовки отчёта по балансу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2–4 часа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Мгновенно (онлайн)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Пользовательское тестирование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Охват автоматизированных процессов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~20%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≥ 80% (MVP)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Функциональное тестирование</w:t>
            </w:r>
          </w:p>
        </w:tc>
      </w:tr>
    </w:tbl>
    <w:p/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3. ХАРАКТЕРИСТИКА ОБЪЕКТА АВТОМАТИЗАЦИИ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2E4D7B"/>
          <w:sz w:val="26"/>
        </w:rPr>
        <w:t>Описание бизнес-процессов</w:t>
      </w:r>
    </w:p>
    <w:p>
      <w:pPr>
        <w:ind w:firstLine="709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Объектом автоматизации являются коммерческие и операционные процессы газотранспортной / газоторговой компании, работающей на транзитном газовом коридоре (EU Gas Directive, Capacity Allocation Mechanism). Ключевые бизнес-процессы, подлежащие автоматизации в рамках MVP: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Код</w:t>
            </w:r>
          </w:p>
        </w:tc>
        <w:tc>
          <w:tcPr>
            <w:tcW w:type="dxa" w:w="2268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Процесс</w:t>
            </w:r>
          </w:p>
        </w:tc>
        <w:tc>
          <w:tcPr>
            <w:tcW w:type="dxa" w:w="6520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Описание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BP-01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Управление номинациями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Приём заявок грузоотправителей на транзит газа, матчинг встречных номинаций (ENTRY/EXIT), подтверждение, обработка реноминаций в D-day режиме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BP-02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Кредитный мониторинг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Отслеживание кредитных лимитов контрагентов в реальном времени, расчёт Current Exposure, формирование Margin Call и блокировка операций при превышении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BP-03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Баланс мощностей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Мониторинг суточных номинированных объёмов по точкам входа/выхода, отображение баланса относительно технических мощностей трубопровода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BP-04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Биллинг и выставление счётов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Автоматическое формирование счётов на основе тарифов, статусное отслеживание оплаты, интеграция с ERP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BP-05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Управление договорами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Хранение и мониторинг договоров транзита/транспортировки, контроль сроков действия, управление мощностными боронированиями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BP-06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Панель управления (Dashboard)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Агрегированный оперативный обзор: объёмы, тревожные сигналы, статус систем, ключевые KPI в реальном времени</w:t>
            </w:r>
          </w:p>
        </w:tc>
      </w:tr>
    </w:tbl>
    <w:p/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2E4D7B"/>
          <w:sz w:val="26"/>
        </w:rPr>
        <w:t>Роли пользователей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Роль</w:t>
            </w:r>
          </w:p>
        </w:tc>
        <w:tc>
          <w:tcPr>
            <w:tcW w:type="dxa" w:w="2551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Описание</w:t>
            </w:r>
          </w:p>
        </w:tc>
        <w:tc>
          <w:tcPr>
            <w:tcW w:type="dxa" w:w="4535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Ключевые функции в GTCP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Коммерческий диспетчер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Основной оперативный пользователь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Ввод и обработка номинаций, матчинг, реноминации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Кредитный менеджер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Мониторинг рисков и лимитов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кредитного монитора, оформление Margin Call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Специалист по биллингу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Выставление и контроль счётов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Создание счётов, контроль оплаты, синхронизация с ERP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Менеджер по договорам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Ведение договорной базы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Управление договорами, мощностями, грузоотправителями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Руководитель / топ-менеджмент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Стратегический контроль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Dashboard, сводные отчёты, KPI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IT-администратор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Управление системой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Настройки, пользователи, интеграции, журнал аудита</w:t>
            </w:r>
          </w:p>
        </w:tc>
      </w:tr>
    </w:tbl>
    <w:p/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4. ТРЕБОВАНИЯ К СИСТЕМЕ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2E4D7B"/>
          <w:sz w:val="26"/>
        </w:rPr>
        <w:t>4.1. Требования к функциям и задачам</w:t>
      </w:r>
    </w:p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Система должна обеспечивать следующий функциональный охват в рамках MVP: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FR-01. Аутентификация и авторизация. </w:t>
      </w:r>
      <w:r>
        <w:rPr>
          <w:rFonts w:ascii="Times New Roman" w:hAnsi="Times New Roman" w:cs="Times New Roman"/>
          <w:b w:val="0"/>
          <w:i w:val="0"/>
          <w:sz w:val="24"/>
        </w:rPr>
        <w:t>Система должна обеспечивать вход пользователей по логину/паролю. Разграничение доступа по ролям (RBAC). Журналирование входов.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FR-02. Главная панель управления (Dashboard). </w:t>
      </w:r>
      <w:r>
        <w:rPr>
          <w:rFonts w:ascii="Times New Roman" w:hAnsi="Times New Roman" w:cs="Times New Roman"/>
          <w:b w:val="0"/>
          <w:i w:val="0"/>
          <w:sz w:val="24"/>
        </w:rPr>
        <w:t>Система должна отображать агрегированные KPI: суммарные номинированные объёмы газа (МВт·ч/сутки), количество активных грузоотправителей, объём выставленных счётов, статус кредитных лимитов, оперативные тревожные сигналы.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FR-03. Управление грузоотправителями (Shippers). </w:t>
      </w:r>
      <w:r>
        <w:rPr>
          <w:rFonts w:ascii="Times New Roman" w:hAnsi="Times New Roman" w:cs="Times New Roman"/>
          <w:b w:val="0"/>
          <w:i w:val="0"/>
          <w:sz w:val="24"/>
        </w:rPr>
        <w:t>Система должна хранить реестр активных грузоотправителей с атрибутами: наименование, номер договора, выделенная мощность (МВт/ч), статус кредита, баланс.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FR-04. Создание номинации. </w:t>
      </w:r>
      <w:r>
        <w:rPr>
          <w:rFonts w:ascii="Times New Roman" w:hAnsi="Times New Roman" w:cs="Times New Roman"/>
          <w:b w:val="0"/>
          <w:i w:val="0"/>
          <w:sz w:val="24"/>
        </w:rPr>
        <w:t>Пользователь должен иметь возможность создать новую номинацию, указав: грузоотправителя, точку входа/выхода, объём (МВт/ч), дату газового суток. Система проверяет наличие свободной мощности и статус кредитного лимита.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FR-05. Статусная модель номинации. </w:t>
      </w:r>
      <w:r>
        <w:rPr>
          <w:rFonts w:ascii="Times New Roman" w:hAnsi="Times New Roman" w:cs="Times New Roman"/>
          <w:b w:val="0"/>
          <w:i w:val="0"/>
          <w:sz w:val="24"/>
        </w:rPr>
        <w:t>Система должна поддерживать жизненный цикл номинации: PENDING → MATCHING → CONFIRMED / REJECTED → RENOM (реноминация). Переходы должны логироваться с временной меткой.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FR-06. Автоматический матчинг номинаций. </w:t>
      </w:r>
      <w:r>
        <w:rPr>
          <w:rFonts w:ascii="Times New Roman" w:hAnsi="Times New Roman" w:cs="Times New Roman"/>
          <w:b w:val="0"/>
          <w:i w:val="0"/>
          <w:sz w:val="24"/>
        </w:rPr>
        <w:t>По запросу диспетчера система должна запускать алгоритм матчинга: сопоставление встречных номинаций ENTRY/EXIT. Неподтверждённые номинации остаются со статусом PENDING.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FR-07. Реноминации (RENOM). </w:t>
      </w:r>
      <w:r>
        <w:rPr>
          <w:rFonts w:ascii="Times New Roman" w:hAnsi="Times New Roman" w:cs="Times New Roman"/>
          <w:b w:val="0"/>
          <w:i w:val="0"/>
          <w:sz w:val="24"/>
        </w:rPr>
        <w:t>Система должна поддерживать изменение объёма номинации в D-day (не ранее чем за 2 часа до начала газовых суток). Реноминации выше 110% от базовой — требуют одобрения диспетчера.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FR-08. Кредитный монитор. </w:t>
      </w:r>
      <w:r>
        <w:rPr>
          <w:rFonts w:ascii="Times New Roman" w:hAnsi="Times New Roman" w:cs="Times New Roman"/>
          <w:b w:val="0"/>
          <w:i w:val="0"/>
          <w:sz w:val="24"/>
        </w:rPr>
        <w:t>Система должна отображать таблицу кредитных позиций по всем грузоотправителям: кредитный лимит, Current Exposure (фактическая задолженность), доступный остаток, флаг превышения.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FR-09. Margin Call. </w:t>
      </w:r>
      <w:r>
        <w:rPr>
          <w:rFonts w:ascii="Times New Roman" w:hAnsi="Times New Roman" w:cs="Times New Roman"/>
          <w:b w:val="0"/>
          <w:i w:val="0"/>
          <w:sz w:val="24"/>
        </w:rPr>
        <w:t>При превышении кредитного лимита система должна автоматически выставлять тревожный сигнал. Пользователь должен иметь возможность оформить официальное уведомление Margin Call с указанием суммы, срока погашения, правового основания.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FR-10. Баланс мощностей. </w:t>
      </w:r>
      <w:r>
        <w:rPr>
          <w:rFonts w:ascii="Times New Roman" w:hAnsi="Times New Roman" w:cs="Times New Roman"/>
          <w:b w:val="0"/>
          <w:i w:val="0"/>
          <w:sz w:val="24"/>
        </w:rPr>
        <w:t>Система должна отображать суточный баланс: физические мощности трубопровода по точкам, номинированные объёмы, свободный остаток. Визуализация — в виде диаграммы или таблицы.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FR-11. Биллинг — формирование счёта. </w:t>
      </w:r>
      <w:r>
        <w:rPr>
          <w:rFonts w:ascii="Times New Roman" w:hAnsi="Times New Roman" w:cs="Times New Roman"/>
          <w:b w:val="0"/>
          <w:i w:val="0"/>
          <w:sz w:val="24"/>
        </w:rPr>
        <w:t>Система должна позволять создавать счёт-фактуру с автозаполнением: номер документа, грузоотправитель, период, объём, тариф, сумма. Статусы счёта: ВЫСТАВЛЕН → ОЖИДАЕТ ОПЛАТЫ → ОПЛАЧЕН / ПРОСРОЧЕН.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FR-12. Синхронизация с ERP. </w:t>
      </w:r>
      <w:r>
        <w:rPr>
          <w:rFonts w:ascii="Times New Roman" w:hAnsi="Times New Roman" w:cs="Times New Roman"/>
          <w:b w:val="0"/>
          <w:i w:val="0"/>
          <w:sz w:val="24"/>
        </w:rPr>
        <w:t>Система должна предоставлять функцию инициирования синхронизации данных биллинга с внешней ERP-системой (1С или аналог). MVP: имитация вызова с фиксацией события в журнале.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FR-13. Управление договорами. </w:t>
      </w:r>
      <w:r>
        <w:rPr>
          <w:rFonts w:ascii="Times New Roman" w:hAnsi="Times New Roman" w:cs="Times New Roman"/>
          <w:b w:val="0"/>
          <w:i w:val="0"/>
          <w:sz w:val="24"/>
        </w:rPr>
        <w:t>Система должна хранить реестр договоров: тип (транзит/транспортировка), стороны, срок действия, объём мощностей, статус (активен / истекает / завершён).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FR-14. Управление мощностями (Capacity). </w:t>
      </w:r>
      <w:r>
        <w:rPr>
          <w:rFonts w:ascii="Times New Roman" w:hAnsi="Times New Roman" w:cs="Times New Roman"/>
          <w:b w:val="0"/>
          <w:i w:val="0"/>
          <w:sz w:val="24"/>
        </w:rPr>
        <w:t>Система должна отображать журнал бронирований мощностей: контрагент, точка, период, тип (FIRM/INT), статус. Фильтрация по точке и периоду.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FR-15. Журнал аудита. </w:t>
      </w:r>
      <w:r>
        <w:rPr>
          <w:rFonts w:ascii="Times New Roman" w:hAnsi="Times New Roman" w:cs="Times New Roman"/>
          <w:b w:val="0"/>
          <w:i w:val="0"/>
          <w:sz w:val="24"/>
        </w:rPr>
        <w:t>Все значимые действия пользователей должны фиксироваться: кто, что, когда, IP-адрес. Журнал доступен администратору.</w:t>
      </w:r>
    </w:p>
    <w:p>
      <w:r>
        <w:br w:type="page"/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2E4D7B"/>
          <w:sz w:val="26"/>
        </w:rPr>
        <w:t>4.2. Требования к составу модулей системы</w:t>
      </w:r>
    </w:p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MVP системы GTCP состоит из семи взаимосвязанных функциональных модулей. Ниже представлено детальное описание каждого модуля.</w:t>
      </w:r>
    </w:p>
    <w:p>
      <w:pPr>
        <w:jc w:val="left"/>
        <w:spacing w:before="160" w:after="60"/>
      </w:pPr>
      <w:r>
        <w:rPr>
          <w:rFonts w:ascii="Times New Roman" w:hAnsi="Times New Roman" w:cs="Times New Roman"/>
          <w:b/>
          <w:i w:val="0"/>
          <w:color w:val="2E4D7B"/>
          <w:sz w:val="24"/>
        </w:rPr>
        <w:t>Модуль 1: Dashboard (Главная панель управления)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Атрибут</w:t>
            </w:r>
          </w:p>
        </w:tc>
        <w:tc>
          <w:tcPr>
            <w:tcW w:type="dxa" w:w="6803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Назначение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Оперативный обзор состояния системы для всех ролей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Доступ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Все авторизованные пользователи (read-only для менеджеров)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Обновление данных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Автоматически, каждые 30 секунд (или по кнопке обновления)</w:t>
            </w:r>
          </w:p>
        </w:tc>
      </w:tr>
    </w:tbl>
    <w:p/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Обязательные виджеты Dashboard: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KPI-карточки: Объём номинаций (МВт·ч/сутки), Активные грузоотправители (кол-во), Выставлено счётов (EUR), Выявлено нарушений кредитного лимита;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Таблица активных грузоотправителей: ID, наименование, мощность, статус кредита, баланс;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Статус-бар системы: текущее время (UTC), статус подключения к биржевым данным, статус балансировочной платформы;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Оперативные тревожные сигналы (Alerts): перечень активных нарушений с приоритетом и ссылкой на источник.</w:t>
      </w:r>
    </w:p>
    <w:p>
      <w:pPr>
        <w:jc w:val="left"/>
        <w:spacing w:before="160" w:after="60"/>
      </w:pPr>
      <w:r>
        <w:rPr>
          <w:rFonts w:ascii="Times New Roman" w:hAnsi="Times New Roman" w:cs="Times New Roman"/>
          <w:b/>
          <w:i w:val="0"/>
          <w:color w:val="2E4D7B"/>
          <w:sz w:val="24"/>
        </w:rPr>
        <w:t>Модуль 2: Nominations (Управление номинациями)</w:t>
      </w:r>
    </w:p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Ключевые экраны и функции: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Журнал номинаций с вкладками: «Входящие», «На матчинге», «Подтверждённые», «Реноминации» — с счётчиками записей на каждой вкладке;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Форма создания новой номинации: грузоотправитель (выбор из реестра), точка (ENTRY/EXIT), объём (МВт/ч), дата газовых суток, комментарий;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Кнопка «Запустить матчинг» — групповая операция, сопоставляет все PENDING номинации;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Детальная карточка номинации: история статусов, временные метки, пользователь, изменивший статус;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Форма реноминации с проверкой допустимого диапазона изменения объёма (+/– 10% без одобрения).</w:t>
      </w:r>
    </w:p>
    <w:p>
      <w:pPr>
        <w:jc w:val="left"/>
        <w:spacing w:before="160" w:after="60"/>
      </w:pPr>
      <w:r>
        <w:rPr>
          <w:rFonts w:ascii="Times New Roman" w:hAnsi="Times New Roman" w:cs="Times New Roman"/>
          <w:b/>
          <w:i w:val="0"/>
          <w:color w:val="2E4D7B"/>
          <w:sz w:val="24"/>
        </w:rPr>
        <w:t>Модуль 3: Credit Monitor (Кредитный мониторинг)</w:t>
      </w:r>
    </w:p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Функции модуля: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Таблица кредитных позиций в реальном времени: наименование контрагента, кредитный лимит (EUR), текущая экспозиция (Current Exposure, EUR), доступный остаток, процент использования;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Визуальная индикация статуса: зелёный (&lt; 80% лимита), жёлтый (80–100%), красный (&gt; 100% — нарушение);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Модальное окно «Margin Call»: сумма требования, дата исполнения, правовое основание (договор), получатель уведомления;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История Margin Call с документарным подтверждением.</w:t>
      </w:r>
    </w:p>
    <w:p>
      <w:pPr>
        <w:jc w:val="left"/>
        <w:spacing w:before="160" w:after="60"/>
      </w:pPr>
      <w:r>
        <w:rPr>
          <w:rFonts w:ascii="Times New Roman" w:hAnsi="Times New Roman" w:cs="Times New Roman"/>
          <w:b/>
          <w:i w:val="0"/>
          <w:color w:val="2E4D7B"/>
          <w:sz w:val="24"/>
        </w:rPr>
        <w:t>Модуль 4: Balance (Баланс мощностей)</w:t>
      </w:r>
    </w:p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Функции модуля: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Суточный баланс по точкам Хоргош и Господжинцы: физическая мощность / номинированный объём / свободный остаток;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Визуализация: горизонтальные индикаторы загрузки (progress bar) с цветовым кодированием;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Таблица детализации по грузоотправителям в разрезе точки;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Расчёт имбаланса (ENTRY − EXIT) с флагом критического отклонения.</w:t>
      </w:r>
    </w:p>
    <w:p>
      <w:pPr>
        <w:jc w:val="left"/>
        <w:spacing w:before="160" w:after="60"/>
      </w:pPr>
      <w:r>
        <w:rPr>
          <w:rFonts w:ascii="Times New Roman" w:hAnsi="Times New Roman" w:cs="Times New Roman"/>
          <w:b/>
          <w:i w:val="0"/>
          <w:color w:val="2E4D7B"/>
          <w:sz w:val="24"/>
        </w:rPr>
        <w:t>Модуль 5: Billing (Биллинг)</w:t>
      </w:r>
    </w:p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Функции модуля: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Реестр счётов с вкладками по статусам: «Выставленные», «Ожидают оплаты», «Оплачены», «Просроченные»;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Форма создания счёта: автоприсвоение номера INV-ГГГГ-НННН, выбор грузоотправителя, период, объём, тариф (EUR/МВт·ч), автоматический расчёт суммы;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Карточка счёта: статус, история платежей, кнопка смены статуса;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Функция «Синхронизировать с 1С ERP» — формирование события интеграции;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Итоговая строка: суммарная задолженность по всем счётам в EUR.</w:t>
      </w:r>
    </w:p>
    <w:p>
      <w:pPr>
        <w:jc w:val="left"/>
        <w:spacing w:before="160" w:after="60"/>
      </w:pPr>
      <w:r>
        <w:rPr>
          <w:rFonts w:ascii="Times New Roman" w:hAnsi="Times New Roman" w:cs="Times New Roman"/>
          <w:b/>
          <w:i w:val="0"/>
          <w:color w:val="2E4D7B"/>
          <w:sz w:val="24"/>
        </w:rPr>
        <w:t>Модуль 6: Contracts (Договоры)</w:t>
      </w:r>
    </w:p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Функции модуля: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Реестр договоров: номер, тип (транзит / транспортировка / рамочный), контрагент, дата начала/окончания, статус;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Цветовое выделение договоров с истекающим сроком (&lt; 30 дней) и просроченных;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Карточка договора: основные параметры, связанные мощности и грузоотправители.</w:t>
      </w:r>
    </w:p>
    <w:p>
      <w:pPr>
        <w:jc w:val="left"/>
        <w:spacing w:before="160" w:after="60"/>
      </w:pPr>
      <w:r>
        <w:rPr>
          <w:rFonts w:ascii="Times New Roman" w:hAnsi="Times New Roman" w:cs="Times New Roman"/>
          <w:b/>
          <w:i w:val="0"/>
          <w:color w:val="2E4D7B"/>
          <w:sz w:val="24"/>
        </w:rPr>
        <w:t>Модуль 7: Capacity (Мощности)</w:t>
      </w:r>
    </w:p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Функции модуля: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Журнал бронирований мощностей: контрагент, точка, тип мощности (FIRM/INT — прерывистая), период, забронированный объём, статус (активно / истекает / завершено);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Фильтрация по точке входа/выхода, периоду, типу;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Индикатор «Истекает» для бронирований с оставшимся сроком &lt; 7 дней.</w:t>
      </w:r>
    </w:p>
    <w:p>
      <w:r>
        <w:br w:type="page"/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2E4D7B"/>
          <w:sz w:val="26"/>
        </w:rPr>
        <w:t>4.3. Требования к надёжности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Параметр надёжности</w:t>
            </w:r>
          </w:p>
        </w:tc>
        <w:tc>
          <w:tcPr>
            <w:tcW w:type="dxa" w:w="340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Требование</w:t>
            </w:r>
          </w:p>
        </w:tc>
        <w:tc>
          <w:tcPr>
            <w:tcW w:type="dxa" w:w="3118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Метод проверки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Доступность системы (Availability)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≥ 99,5% в рабочее время (пн–пт, 07:00–22:00 CET)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Мониторинг uptime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Время восстановления (RTO)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≤ 1 час при сбое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Процедура аварийного восстановления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Целевая точка восстановления (RPO)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≤ 15 минут потери данных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Бэкап-политика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Время отклика интерфейса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&lt; 2 секунды для 95% запросов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Нагрузочное тестирование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Одновременных пользователей (MVP)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≥ 20 без деградации производительности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Стресс-тестирование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Корректность расчётов кредита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100% — нулевой допуск на ошибку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Unit-тесты расчётного ядра</w:t>
            </w:r>
          </w:p>
        </w:tc>
      </w:tr>
    </w:tbl>
    <w:p/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2E4D7B"/>
          <w:sz w:val="26"/>
        </w:rPr>
        <w:t>4.4. Требования к безопасности</w:t>
      </w:r>
    </w:p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Система должна соответствовать требованиям информационной безопасности, предъявляемым к системам класса ETRM, работающим с коммерчески чувствительными данными.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SEC-01. Аутентификация: </w:t>
      </w:r>
      <w:r>
        <w:rPr>
          <w:rFonts w:ascii="Times New Roman" w:hAnsi="Times New Roman" w:cs="Times New Roman"/>
          <w:b w:val="0"/>
          <w:i w:val="0"/>
          <w:sz w:val="24"/>
        </w:rPr>
        <w:t>Обязательная авторизация для доступа к любому функциональному модулю. Пароли хранятся в хэшированном виде (bcrypt/Argon2). Минимальная длина пароля — 8 символов.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SEC-02. Управление доступом (RBAC): </w:t>
      </w:r>
      <w:r>
        <w:rPr>
          <w:rFonts w:ascii="Times New Roman" w:hAnsi="Times New Roman" w:cs="Times New Roman"/>
          <w:b w:val="0"/>
          <w:i w:val="0"/>
          <w:sz w:val="24"/>
        </w:rPr>
        <w:t>Разграничение прав доступа по ролям. Пользователь видит только данные и функции, соответствующие его роли. Принцип минимальных привилегий.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SEC-03. Защита передачи данных: </w:t>
      </w:r>
      <w:r>
        <w:rPr>
          <w:rFonts w:ascii="Times New Roman" w:hAnsi="Times New Roman" w:cs="Times New Roman"/>
          <w:b w:val="0"/>
          <w:i w:val="0"/>
          <w:sz w:val="24"/>
        </w:rPr>
        <w:t>Все соединения только по протоколу HTTPS (TLS 1.2+). HTTP-запросы автоматически перенаправляются на HTTPS.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SEC-04. Защита от веб-атак: </w:t>
      </w:r>
      <w:r>
        <w:rPr>
          <w:rFonts w:ascii="Times New Roman" w:hAnsi="Times New Roman" w:cs="Times New Roman"/>
          <w:b w:val="0"/>
          <w:i w:val="0"/>
          <w:sz w:val="24"/>
        </w:rPr>
        <w:t>Защита от CSRF, XSS, SQL-инъекций. Все пользовательские входные данные проходят валидацию и санитизацию на стороне сервера.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SEC-05. Журнал аудита безопасности: </w:t>
      </w:r>
      <w:r>
        <w:rPr>
          <w:rFonts w:ascii="Times New Roman" w:hAnsi="Times New Roman" w:cs="Times New Roman"/>
          <w:b w:val="0"/>
          <w:i w:val="0"/>
          <w:sz w:val="24"/>
        </w:rPr>
        <w:t>Фиксация: попытки входа (успешные/неуспешные), изменения кредитных лимитов, создание Margin Call, изменение статуса счётов. Журнал не редактируется пользователями.</w:t>
      </w:r>
    </w:p>
    <w:p>
      <w:pPr>
        <w:jc w:val="both"/>
        <w:spacing w:before="60" w:after="60" w:line="360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SEC-06. Сессионная безопасность: </w:t>
      </w:r>
      <w:r>
        <w:rPr>
          <w:rFonts w:ascii="Times New Roman" w:hAnsi="Times New Roman" w:cs="Times New Roman"/>
          <w:b w:val="0"/>
          <w:i w:val="0"/>
          <w:sz w:val="24"/>
        </w:rPr>
        <w:t>Автоматическое завершение сессии через 30 минут неактивности. Возможность принудительного завершения всех сессий пользователя администратором.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2E4D7B"/>
          <w:sz w:val="26"/>
        </w:rPr>
        <w:t>4.5. Требования к интерфейсу пользователя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Веб-браузерный интерфейс — поддержка Google Chrome (v.100+), Mozilla Firefox (v.100+), Microsoft Edge (v.100+);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Адаптивная вёрстка — корректное отображение на десктопных экранах (1280×768 и выше), частичная адаптация для планшетов;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Тёмная тема оформления в корпоративном стиле (dark mode by default) — соответствует профессиональному стандарту торговых терминалов;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Моноширинные шрифты для числовых данных (IBM Plex Mono) — обеспечивают читаемость числовых столбцов в таблицах;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Язык интерфейса: русский (основной), с поддержкой латинских аббревиатур (ENTRY, EXIT, FIRM, INT, MCL и т.д.);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Время отображается в UTC+1 (CET) — стандарт европейского газового рынка;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Цветовое кодирование статусов: зелёный (#00E5A0) — норма, жёлтый (#FFD166) — предупреждение, красный (#FF4D6D) — нарушение/блокировка;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Модальные окна для создания/редактирования записей — без перехода на новую страницу;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Уведомления (toast-сообщения) о результатах операций — успех/ошибка/предупреждение.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2E4D7B"/>
          <w:sz w:val="26"/>
        </w:rPr>
        <w:t>4.6. Требования к техническому обеспечению</w:t>
      </w:r>
    </w:p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Минимальные требования к серверу (production):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Компонент</w:t>
            </w:r>
          </w:p>
        </w:tc>
        <w:tc>
          <w:tcPr>
            <w:tcW w:type="dxa" w:w="2835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Минимум (MVP)</w:t>
            </w:r>
          </w:p>
        </w:tc>
        <w:tc>
          <w:tcPr>
            <w:tcW w:type="dxa" w:w="3969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Рекомендуется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ЦПУ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 vCPU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 vCPU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ОЗУ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 GB RAM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 GB RAM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Диск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 GB SSD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50 GB SSD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ОС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Ubuntu 22.04 LTS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Ubuntu 22.04 LTS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Сеть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100 Мбит/с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 Гбит/с</w:t>
            </w:r>
          </w:p>
        </w:tc>
      </w:tr>
    </w:tbl>
    <w:p/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2E4D7B"/>
          <w:sz w:val="26"/>
        </w:rPr>
        <w:t>4.7. Требования к программному обеспечению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Уровень</w:t>
            </w:r>
          </w:p>
        </w:tc>
        <w:tc>
          <w:tcPr>
            <w:tcW w:type="dxa" w:w="198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Компонент</w:t>
            </w:r>
          </w:p>
        </w:tc>
        <w:tc>
          <w:tcPr>
            <w:tcW w:type="dxa" w:w="2835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Технология / Версия</w:t>
            </w:r>
          </w:p>
        </w:tc>
        <w:tc>
          <w:tcPr>
            <w:tcW w:type="dxa" w:w="3118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Обоснование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Frontend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Веб-интерфейс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HTML5 / CSS3 / Vanilla JS (MVP) или React 18+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Отсутствие зависимостей, быстрый старт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Frontend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Дизайн-система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CSS Variables, IBM Plex Mono/Sans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Профессиональный торговый UI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Backend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API-сервер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Node.js 20 LTS / Express.js 4.x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Асинхронная обработка событий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Backend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База данных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PostgreSQL 15+ (реляционная)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ACID, сложные запросы, JSON поддержка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Backend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Кэш / очередь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Redis 7+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Real-time уведомления, сессии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Безопасность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Аутентификация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JWT + bcrypt / Argon2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Stateless API, защита паролей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DevOps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Контейнеризация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Docker 24+ / Docker Compose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Воспроизводимость окружения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DevOps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CI/CD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GitHub Actions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Автодеплой при merge в main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Интеграции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ERP-коннектор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REST API / Webhook (1С)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Синхронизация биллинга</w:t>
            </w:r>
          </w:p>
        </w:tc>
      </w:tr>
    </w:tbl>
    <w:p/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5. СОСТАВ И СОДЕРЖАНИЕ РАБОТ ПО СОЗДАНИЮ СИСТЕМЫ</w:t>
      </w:r>
    </w:p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Разработка MVP GTCP осуществляется методом итерационного подхода (Agile/Scrum). Планируемая длительность MVP — 8 недель (2 спринта по 2 недели + финализация).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417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Этап</w:t>
            </w:r>
          </w:p>
        </w:tc>
        <w:tc>
          <w:tcPr>
            <w:tcW w:type="dxa" w:w="1417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Sprint / Фаза</w:t>
            </w:r>
          </w:p>
        </w:tc>
        <w:tc>
          <w:tcPr>
            <w:tcW w:type="dxa" w:w="850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Сроки</w:t>
            </w:r>
          </w:p>
        </w:tc>
        <w:tc>
          <w:tcPr>
            <w:tcW w:type="dxa" w:w="3969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Состав работ</w:t>
            </w:r>
          </w:p>
        </w:tc>
        <w:tc>
          <w:tcPr>
            <w:tcW w:type="dxa" w:w="198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Результат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 Инициация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Pre-sprint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Нед. 1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Утверждение ТЗ, выбор стека, настройка репозитория, CI/CD, базовой Docker-инфраструктуры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ТЗ, dev-окружение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 Дизайн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Sprint 0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Нед. 2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UI/UX прототипирование (Figma/Excalidraw), дизайн-система (цвета, типографика, компоненты), макеты всех 7 экранов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Утверждённые макеты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 Backend Core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Sprint 1</w:t>
              <w:br/>
              <w:t>(нед. 3–4)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Нед. 3–4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Схема БД (PostgreSQL), API аутентификации и RBAC, CRUD для грузоотправителей, номинаций, договоров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Backend API v0.1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 Frontend Core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Sprint 1</w:t>
              <w:br/>
              <w:t>(нед. 3–4)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Нед. 3–4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Реализация Dashboard, модуля Nominations (список + формы), модуля Contracts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Frontend модули 1, 6, 7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 Risk &amp; Finance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Sprint 2</w:t>
              <w:br/>
              <w:t>(нед. 5–6)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Нед. 5–6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Модуль Credit Monitor (расчёт экспозиций, Margin Call), модуль Balance, модуль Billing (счета + ERP)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Frontend модули 2, 3, 4, 5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 Интеграции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Sprint 2</w:t>
              <w:br/>
              <w:t>(нед. 5–6)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Нед. 5–6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WebSocket для real-time обновлений дашборда, имитация ERP-синхронизации, журнал аудита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Real-time функции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 Тестирование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Sprint 3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Нед. 7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Unit-тесты расчётного ядра, интеграционные тесты API, UAT с тестовыми сценариями, нагрузочное тестирование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Тест-протоколы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8. Финализация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Release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Нед. 8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Исправление ошибок, документирование API (Swagger), подготовка демо-данных, деплой, защита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MVP v1.0, демо-стенд</w:t>
            </w:r>
          </w:p>
        </w:tc>
      </w:tr>
    </w:tbl>
    <w:p/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6. ПОРЯДОК КОНТРОЛЯ И ПРИЁМКИ СИСТЕМЫ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2E4D7B"/>
          <w:sz w:val="26"/>
        </w:rPr>
        <w:t>Критерии готовности MVP (Definition of Done)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Все 15 функциональных требований (FR-01 — FR-15) реализованы и проверены;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Покрытие unit-тестами расчётного ядра (кредитный мониторинг, биллинг) — не менее 80%;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Успешное прохождение UAT по эталонным сценариям (см. п. 6.2);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Время отклика интерфейса &lt; 2 секунды для 95% операций при 20 одновременных пользователях;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Отсутствие критических (P0) и высоких (P1) дефектов безопасности по результатам проверки OWASP Top 10;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Задокументированы: API (Swagger/OpenAPI), схема БД (ERD), руководство по развёртыванию;</w:t>
      </w:r>
    </w:p>
    <w:p>
      <w:pPr>
        <w:pStyle w:val="ListBullet"/>
        <w:ind w:left="709"/>
        <w:jc w:val="both"/>
        <w:spacing w:before="20" w:after="2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Демо-стенд развёрнут и доступен по публичному адресу (https) на момент защиты.</w:t>
      </w:r>
    </w:p>
    <w:p>
      <w:pPr>
        <w:jc w:val="left"/>
        <w:spacing w:before="200" w:after="80"/>
      </w:pPr>
      <w:r>
        <w:rPr>
          <w:rFonts w:ascii="Times New Roman" w:hAnsi="Times New Roman" w:cs="Times New Roman"/>
          <w:b/>
          <w:i w:val="0"/>
          <w:color w:val="2E4D7B"/>
          <w:sz w:val="26"/>
        </w:rPr>
        <w:t>Приёмочные тест-сценарии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ID теста</w:t>
            </w:r>
          </w:p>
        </w:tc>
        <w:tc>
          <w:tcPr>
            <w:tcW w:type="dxa" w:w="2551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Сценарий</w:t>
            </w:r>
          </w:p>
        </w:tc>
        <w:tc>
          <w:tcPr>
            <w:tcW w:type="dxa" w:w="2835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Предусловие</w:t>
            </w:r>
          </w:p>
        </w:tc>
        <w:tc>
          <w:tcPr>
            <w:tcW w:type="dxa" w:w="3118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Ожидаемый результат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TS-01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Создание и подтверждение номинации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Авторизован диспетчер, есть свободная мощность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Номинация создана, статус PENDING → CONFIRMED после матчинга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TS-02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Автоблокировка при превышении кредитного лимита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Контрагент использовал 100% лимита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Форма номинации возвращает ошибку «Кредитный лимит исчерпан»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TS-03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Оформление Margin Call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Лимит превышен, авторизован кредитный менеджер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Создано уведомление Margin Call, зафиксировано в журнале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TS-04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Создание и оплата счёта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Авторизован специалист биллинга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Счёт создан ВЫСТАВЛЕН → статус изменён на ОПЛАЧЕН вручную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TS-05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Реноминация выше 110%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Подтверждённая номинация существует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Система выдаёт предупреждение, требуется одобрение диспетчера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TS-06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Доступ к чужому модулю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Авторизован пользователь с ролью «только биллинг»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Доступ к модулю Credit Monitor запрещён (HTTP 403)</w:t>
            </w:r>
          </w:p>
        </w:tc>
      </w:tr>
    </w:tbl>
    <w:p/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7. ТРЕБОВАНИЯ К СОСТАВУ И СОДЕРЖАНИЮ ДОКУМЕНТАЦИИ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Документ</w:t>
            </w:r>
          </w:p>
        </w:tc>
        <w:tc>
          <w:tcPr>
            <w:tcW w:type="dxa" w:w="1701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Формат</w:t>
            </w:r>
          </w:p>
        </w:tc>
        <w:tc>
          <w:tcPr>
            <w:tcW w:type="dxa" w:w="3969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Состав</w:t>
            </w:r>
          </w:p>
        </w:tc>
        <w:tc>
          <w:tcPr>
            <w:tcW w:type="dxa" w:w="1701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Ответственный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Техническое задание (ТЗ)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.docx / .pdf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Настоящий документ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Кравчук Л.А.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Спецификация API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Swagger / OpenAPI 3.0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Описание всех REST-эндпоинтов, модели данных, примеры запросов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Разработчик Backend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Схема базы данных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.pdf / ERD-диаграмма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ER-диаграмма, описание таблиц и связей, атрибуты, типы данных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Разработчик Backend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Руководство по развёртыванию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.md (README)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Требования к окружению, инструкция Docker Compose, переменные окружения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DevOps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Руководство пользователя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.docx / .pdf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Описание функций по ролям, экранные формы, типовые сценарии работы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Кравчук Л.А.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Отчёт по тестированию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.docx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Результаты UAT, журнал дефектов, подтверждение закрытия P0/P1 дефектов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QA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Протокол Margin Call (шаблон)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.docx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Шаблон официального уведомления для контрагентов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Кравчук Л.А.</w:t>
            </w:r>
          </w:p>
        </w:tc>
      </w:tr>
    </w:tbl>
    <w:p/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8. ИСТОЧНИКИ РАЗРАБОТКИ</w:t>
      </w:r>
    </w:p>
    <w:p>
      <w:pPr>
        <w:ind w:hanging="425" w:left="425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1. ГОСТ 34.602-2020 «Информационные технологии. Техническое задание на создание автоматизированной системы». — М.: Стандартинформ, 2020.</w:t>
      </w:r>
    </w:p>
    <w:p>
      <w:pPr>
        <w:ind w:hanging="425" w:left="425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2. ГОСТ Р ИСО/МЭК 25010-2015 «Системная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продуктов». — М.: Стандартинформ, 2015.</w:t>
      </w:r>
    </w:p>
    <w:p>
      <w:pPr>
        <w:ind w:hanging="425" w:left="425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3. European Network of Transmission System Operators for Gas (ENTSO-G). Network Code on Capacity Allocation Mechanisms in Gas Transmission Systems (CAM NC). — Brussels, 2013.</w:t>
      </w:r>
    </w:p>
    <w:p>
      <w:pPr>
        <w:ind w:hanging="425" w:left="425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4. Network Code on Gas Balancing of Transmission Networks (BAL NC). EU Commission Regulation (EU) No 312/2014.</w:t>
      </w:r>
    </w:p>
    <w:p>
      <w:pPr>
        <w:ind w:hanging="425" w:left="425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5. OWASP Top 10:2021 — Open Web Application Security Project, стандарт безопасности веб-приложений.</w:t>
      </w:r>
    </w:p>
    <w:p>
      <w:pPr>
        <w:ind w:hanging="425" w:left="425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6. Внутренняя документация компании: «Scope of Services — Gas Transmission», аннексы к договорам Unicorn / GEDP.</w:t>
      </w:r>
    </w:p>
    <w:p>
      <w:pPr>
        <w:ind w:hanging="425" w:left="425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7. Кравчук Л.А. Бизнес-модель ETRM-платформы (Business Model Canvas GTCP). — Дипломная работа, 2026.</w:t>
      </w:r>
    </w:p>
    <w:p>
      <w:pPr>
        <w:ind w:hanging="425" w:left="425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8. Расписание и методические материалы программы «Управление проектами (PMNz-74)».</w:t>
      </w:r>
    </w:p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Приложение А. ГЛОССАРИЙ ТЕРМИНОВ ETRM / GTCP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Термин / Аббревиатура</w:t>
            </w:r>
          </w:p>
        </w:tc>
        <w:tc>
          <w:tcPr>
            <w:tcW w:type="dxa" w:w="7087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2"/>
              </w:rPr>
              <w:t>Расшифровка и определение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ETRM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Energy Trading &amp; Risk Management — класс корпоративных систем для автоматизации торговли энергоресурсами и управления рисками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GTCP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Gas Trading &amp; Commercial Platform — наименование разрабатываемой системы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MVP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Minimum Viable Product — минимально жизнеспособный продукт с базовым набором функций для первого релиза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Номинация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Официальная заявка грузоотправителя о намерении транспортировать определённый объём газа через точку входа/выхода в конкретные газовые сутки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Реноминация (RENOM)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Изменение объёма ранее подтверждённой номинации в течение текущих газовых суток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Матчинг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Алгоритм сопоставления встречных номинаций: ENTRY (входящий поток) согласуется с EXIT (исходящий поток)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ENTRY / EXIT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Точки входа и выхода газа в/из транспортной системы (Хоргош — ENTRY, Господжинцы — EXIT для транзита Венгрия → Сербия)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Margin Call (MCL)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Официальное требование о пополнении обеспечения при превышении кредитного лимита контрагентом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Current Exposure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Текущая финансовая экспозиция (задолженность) контрагента перед компанией в EUR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FIRM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Тип мощности — твёрдое бронирование, которое не может быть прервано TSO в нормальных условиях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INT (Interruptible)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Прерывистое бронирование мощности — может быть отозвано TSO при нехватке физических мощностей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TSO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Transmission System Operator — оператор транспортной системы (Пайпстрим, Газпром трансгаз и аналоги)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CAM NC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Capacity Allocation Mechanisms Network Code — Европейский сетевой кодекс распределения мощностей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Gas Day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Газовые сутки — расчётный период с 06:00 до 06:00 CET следующего дня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RBAC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Role-Based Access Control — управление доступом на основе ролей пользователей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API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Application Programming Interface — программный интерфейс взаимодействия между компонентами системы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JWT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JSON Web Token — стандарт токенов для аутентификации в REST API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ERP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Enterprise Resource Planning — система управления ресурсами предприятия (1С, SAP и др.)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CET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5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Central European Time — UTC+1, стандартный часовой пояс европейского газового рынка</w:t>
            </w:r>
          </w:p>
        </w:tc>
      </w:tr>
    </w:tbl>
    <w:p/>
    <w:p>
      <w:r>
        <w:br w:type="page"/>
      </w:r>
    </w:p>
    <w:p>
      <w:pPr>
        <w:jc w:val="left"/>
        <w:spacing w:before="240" w:after="120"/>
        <w:pBdr>
          <w:bottom w:val="single" w:sz="8" w:space="1" w:color="1F3864"/>
        </w:pBdr>
      </w:pPr>
      <w:r>
        <w:rPr>
          <w:rFonts w:ascii="Times New Roman" w:hAnsi="Times New Roman" w:cs="Times New Roman"/>
          <w:b/>
          <w:i w:val="0"/>
          <w:color w:val="1F3864"/>
          <w:sz w:val="28"/>
        </w:rPr>
        <w:t>Приложение Б. ПРОТОТИП ИНТЕРФЕЙСА — ОПИСАНИЕ ЭКРАНОВ</w:t>
      </w:r>
    </w:p>
    <w:p>
      <w:pPr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Ниже приведено текстовое описание ключевых экранов MVP GTCP. Реализованный HTML-прототип доступен в файле index.html в составе проектной документации.</w:t>
      </w:r>
    </w:p>
    <w:p>
      <w:pPr>
        <w:jc w:val="left"/>
        <w:spacing w:before="160" w:after="60"/>
      </w:pPr>
      <w:r>
        <w:rPr>
          <w:rFonts w:ascii="Times New Roman" w:hAnsi="Times New Roman" w:cs="Times New Roman"/>
          <w:b/>
          <w:i w:val="0"/>
          <w:color w:val="2E4D7B"/>
          <w:sz w:val="24"/>
        </w:rPr>
        <w:t>Экран 1: Dashboard (Главная панель)</w:t>
      </w:r>
    </w:p>
    <w:p>
      <w:pPr>
        <w:ind w:firstLine="709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Верхняя панель содержит: логотип GTCP, статусный индикатор (ONLINE), текущее время в UTC+1, имя пользователя с аватаром. Левая боковая навигация: разделы Главная / Коммерция (Номинации, Кредит, Баланс, Биллинг) / Договоры (Договоры, Мощности). Центральная область: 4 KPI-карточки в ряд + таблица активных грузоотправителей.</w:t>
      </w:r>
    </w:p>
    <w:p>
      <w:pPr>
        <w:jc w:val="left"/>
        <w:spacing w:before="160" w:after="60"/>
      </w:pPr>
      <w:r>
        <w:rPr>
          <w:rFonts w:ascii="Times New Roman" w:hAnsi="Times New Roman" w:cs="Times New Roman"/>
          <w:b/>
          <w:i w:val="0"/>
          <w:color w:val="2E4D7B"/>
          <w:sz w:val="24"/>
        </w:rPr>
        <w:t>Экран 2: Nominations (Номинации)</w:t>
      </w:r>
    </w:p>
    <w:p>
      <w:pPr>
        <w:ind w:firstLine="709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Заголовок с кнопками «+ Новая номинация» и «⚡ Запустить матчинг». Ниже — вкладки с счётчиками (Входящие 8, На матчинге 3, Подтверждённые 5, Реноминации 2). Таблица номинаций: ID, грузоотправитель, точка, объём, статус-бейдж, время, действие. Ниже — таблица «Кредитный монитор Real-Time».</w:t>
      </w:r>
    </w:p>
    <w:p>
      <w:pPr>
        <w:jc w:val="left"/>
        <w:spacing w:before="160" w:after="60"/>
      </w:pPr>
      <w:r>
        <w:rPr>
          <w:rFonts w:ascii="Times New Roman" w:hAnsi="Times New Roman" w:cs="Times New Roman"/>
          <w:b/>
          <w:i w:val="0"/>
          <w:color w:val="2E4D7B"/>
          <w:sz w:val="24"/>
        </w:rPr>
        <w:t>Экран 3: Credit Monitor (Кредитный монитор)</w:t>
      </w:r>
    </w:p>
    <w:p>
      <w:pPr>
        <w:ind w:firstLine="709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Предупреждение-баннер красного цвета при наличии нарушений. Таблица с колонками: контрагент, лимит (EUR), Current Exposure (EUR), доступно (EUR), статус (цветной бейдж). Кнопка «⚡ Оформить Margin Call» активна при наличии нарушения. Модальное окно Margin Call.</w:t>
      </w:r>
    </w:p>
    <w:p>
      <w:pPr>
        <w:jc w:val="left"/>
        <w:spacing w:before="160" w:after="60"/>
      </w:pPr>
      <w:r>
        <w:rPr>
          <w:rFonts w:ascii="Times New Roman" w:hAnsi="Times New Roman" w:cs="Times New Roman"/>
          <w:b/>
          <w:i w:val="0"/>
          <w:color w:val="2E4D7B"/>
          <w:sz w:val="24"/>
        </w:rPr>
        <w:t>Экран 4: Billing (Биллинг)</w:t>
      </w:r>
    </w:p>
    <w:p>
      <w:pPr>
        <w:ind w:firstLine="709"/>
        <w:jc w:val="both"/>
        <w:spacing w:before="40" w:after="4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  <w:t>Итоговая строка: суммарная задолженность к оплате. Вкладки: Выставленные / Ожидают оплаты / Оплачены / Просроченные. Таблица счётов: номер, грузоотправитель, период, объём, тариф, сумма, статус. Кнопка «Синхронизировать с 1С ERP».</w:t>
      </w:r>
    </w:p>
    <w:sectPr w:rsidR="00FC693F" w:rsidRPr="0006063C" w:rsidSect="00034616">
      <w:pgSz w:w="12240" w:h="15840"/>
      <w:pgMar w:top="1417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