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НЕТОЛОГИЯ</w:t>
      </w:r>
    </w:p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E2761"/>
          <w:sz w:val="40"/>
          <w:szCs w:val="40"/>
        </w:rPr>
        <w:t xml:space="preserve">ДИПЛОМНАЯ РАБОТА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A8CC"/>
          <w:sz w:val="30"/>
          <w:szCs w:val="30"/>
        </w:rPr>
        <w:t xml:space="preserve">GTCP — GAS TRADING &amp; COMMERCIAL PLATFORM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Energy Trading &amp; Risk Management System (ETRM)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Курс: Менеджер проектов: расширенный курс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Специализация: Управление проектами в IT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Формат: Смоделированный проект (реальная архитектура и данные)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ООО «ГАЗ ТРАНС» — Оператор ГТС Сербии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ETRM — Energy Trading &amp; Risk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Горизонт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месяцев разработки + 2 года поддержки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Бюджет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€ 3 088 000 (с резервом на риски 15%)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Нормативная база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Сетевой Кодекс ЕС NC v2.4 (ENTSOG)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Дата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Февраль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О ПРОЕКТЕ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2.1 Описание и актуальность проекта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Проект GTCP (Gas Trading &amp; Commercial Platform) — смоделированный ИТ-проект по разработке системы класса ETRM (Energy Trading &amp; Risk Management) для ООО «ГАЗ ТРАНС» — единственного оператора газотранспортной системы (ОТС) Сербии.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Текущее состояние: коммерческие операции ведутся вручную в Excel и устаревших таблицах. Матчинг номинаций с Adjacent System Operators (AFO) занимает 2–3 часа, кредитный контроль лишён автоматических триггеров Margin Call, биллинг не интегрирован с учётной системой 1С ERP.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Ценность проекта для компании: устранение операционных рисков и штрафов регулятора, сокращение ручного труда на 70%, обеспечение соответствия Сетевому Кодексу NC v2.4 (ENTSOG), повышение прозрачности коммерческих операций для акционеров и регулятора.</w:t>
      </w:r>
    </w:p>
    <w:p>
      <w:pPr>
        <w:pBdr>
          <w:left w:val="single" w:color="00A8CC" w:sz="16" w:space="4"/>
        </w:pBdr>
        <w:shd w:fill="E8F0FE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ℹ️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Проект смоделированный. При оценке использованы реальные архитектурные решения аналогичных систем — GASTRANS (Gastrans d.o.o., Сербия) и Unicorn Systems (Чехия).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2.2 Бизнес-цели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Цели оцифрованы в формате SMART (численное выражение + срок):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6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БЦ-01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Автоматизация матчинга номинаций с AFO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Точность матчинга ≥ 95%, время обработки ≤ 5 мин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Конец М17</w:t>
            </w:r>
          </w:p>
        </w:tc>
      </w:tr>
    </w:tbl>
    <w:p>
      <w:pPr>
        <w:spacing w:before="40"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6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БЦ-02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Внедрение кредитного контроля в реальном времени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Margin Call выставляется за &lt; 4 часов; 0 операций сверх лимита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М16</w:t>
            </w:r>
          </w:p>
        </w:tc>
      </w:tr>
    </w:tbl>
    <w:p>
      <w:pPr>
        <w:spacing w:before="40"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6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БЦ-03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Балансировка / OBA в соответствии с NC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Небаланс системы ≤ 3% нормы; сокращение QA-штрафов на 60%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М17</w:t>
            </w:r>
          </w:p>
        </w:tc>
      </w:tr>
    </w:tbl>
    <w:p>
      <w:pPr>
        <w:spacing w:before="40" w:after="4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600"/>
        <w:gridCol w:w="1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БЦ-04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Автоматизированный биллинг + интеграция 1С ERP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Счёт-фактура формируется за ≤ 2 часа после газового дня; точность 99.9%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М17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2.3 Проектные задачи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модуля управления номинациями (Nomination Management) с поддержкой протокола EDIG@S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модуля кредитных лимитов и Margin Call (Credit Risk Management)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модуля балансировки и аллокаций (Balancing &amp; Allocation / OBA)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модуля биллинга и интеграции с 1С ERP (Billing &amp; Invoicing)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Интеграция с SCADA (телеметрия потоков), RBP-платформой (аукционы мощностей) и AFO соседних ОТС (FGSZ, Bulgartransgas)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Обучение 13 пользователей в 3 группах: коммерческий диспетчер, финансовый аналитик, IT-администратор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2.4 Сроки и бюджет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Инициация и BRD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М0–М3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€ 105 000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Дизайн (SDD + UX)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М3–М5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€ 170 000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Разработка (4 модуля + API)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М5–М12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€ 1 060 000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Тестирование (FAT+UAT)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М12–М16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€ 240 000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Внедрение и обучение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М16–М18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€ 150 000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Поддержка (2 года)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М18–М42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€ 300 000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Резерв 15%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€ 463 000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18 месяцев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€ 3 088 000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2.5 Проектная команда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Команда состоит из 13 специалистов, распределённых в 3 функциональные группы: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Менеджер проекта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PMBOK 7, Agile, GIS, MS Project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Бизнес-аналитик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BRD, BPMN 2.0, Сетевой Кодекс NC v2.4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Архитектор ПО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 EE, Microservices, Event-driven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Backend-разработчик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Java 17 / Python 3.11, Spring Boot, REST API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Frontend-разработчик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18, TypeScript, Material UI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QA-инженер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FAT, UAT, Selenium, TestRail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DevOps / ИБ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Docker, Kubernetes, CI/CD, LDAP/SSO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Финансовый аналитик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×1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ETRM биллинг, PnL, 1С интеграция</w:t>
            </w:r>
          </w:p>
        </w:tc>
      </w:tr>
    </w:tbl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PRODUCT / MARKET FIT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3.1 Анализ рынка ETRM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Глобальный рынок систем ETRM в 2025 году оценивается в $ 10.8 млрд и демонстрирует CAGR 9.1% (прогноз на период 2025–2030 гг., источники: MarketsandMarkets, Grand View Research). Ключевые драйверы роста: энергопереход, ужесточение регуляторных требований ЕС, внедрение директивы IEM (Internal Energy Market) и NC ENTSOG.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Европейский сегмент составляет около $ 3.2 млрд с темпом роста +11% в год. Сегмент Балканы / ЦВЕ оценивается в $ 180 млн. Рынок характеризуется как быстро растущий — основной вывод для стратегии: входить сейчас, пока конкуренты только присматриваются к региону.</w:t>
      </w:r>
    </w:p>
    <w:p>
      <w:pPr>
        <w:pBdr>
          <w:left w:val="single" w:color="00875A" w:sz="16" w:space="4"/>
        </w:pBdr>
        <w:shd w:fill="E6F4E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📊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Рынок: быстро растущий. Директива ЕС IEM обязывает ОТС к автоматизации — ETRM-система не опция, а регуляторное требование.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3.2 Конкурентный анализ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Проведено сравнение по 7 бизнес-критериям с ключевыми конкурентами: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50"/>
        <w:gridCol w:w="1150"/>
        <w:gridCol w:w="1150"/>
        <w:gridCol w:w="115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SAP ETRM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Openlink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Allegro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GTCP (наш)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Матчинг номинаций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EDIG@S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Кредитный риск RT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Margin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Балансировка OBA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ISO-метод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Интеграция 1С ERP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Нативная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NC v2.4 Сербия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 С 1-го дня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Стоимость лицензий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€5–10М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€3–7М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€2–5М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€2–4М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€420К CAPEX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Срок внедрения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 мес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мес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мес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мес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 мес</w:t>
            </w:r>
          </w:p>
        </w:tc>
      </w:tr>
    </w:tbl>
    <w:p>
      <w:pPr>
        <w:spacing w:before="80" w:after="80"/>
      </w:pPr>
    </w:p>
    <w:p>
      <w:pPr>
        <w:pBdr>
          <w:left w:val="single" w:color="00875A" w:sz="16" w:space="4"/>
        </w:pBdr>
        <w:shd w:fill="E6F4E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🏆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Вывод: GTCP — единственное решение с нативной интеграцией 1С ERP и полной поддержкой NC v2.4. Отстройка достигается за счёт локализации под регуляторику Сербии и ценовой позиции (в 5–10 раз ниже SAP/Openlink).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3.3 SWOT-анализ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СИЛЬНЫЕ СТОРОНЫ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СЛАБЫЕ СТОРОНЫ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Уникальная нативная интеграция 1С ERP
• NC v2.4 поддержка с первого дня
• Гибкая микросервисная архитектура
• ETRM-команда с отраслевым опытом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Разработка с нуля (нет готового MVP)
• Зависимость от одного вендора ETRM
• Дефицит NC-специалистов на рынке
• Высокий CAPEX на старте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ВОЗМОЖНОСТИ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УГРОЗЫ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Тиражирование в 6+ стран СЕЕ
• Рост требований ЕС к цифровизации
• Новые IP-точки и газопроводы
• Подключение новых грузоотправителей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Изменения Сетевого Кодекса ЕС
• Санкционные ограничения на ПО
• SAP / Openlink с агрессивным ценообразованием
• Задержки регуляторных согласований</w:t>
            </w:r>
          </w:p>
        </w:tc>
      </w:tr>
    </w:tbl>
    <w:p>
      <w:pPr>
        <w:spacing w:before="80" w:after="80"/>
      </w:pP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Вывод из SWOT: ключевые сильные стороны — локализация и ценовая позиция. Основная угроза — изменение NC — нейтрализуется гибкой архитектурой модулей (каждый модуль — независимый микросервис).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3.4 Монетизация и Lean Canvas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Основные способы монетизации продукта для ООО «ГАЗ ТРАНС»: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Услуга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Транспорт FIRM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€ 118.50 / тыс.м³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Регулируемый тариф ARENE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Транспорт Interruptible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€ 95.20 / тыс.м³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80.5% от FIRM по NC v2.4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Штрафы за небаланс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Формула OBA × коэф.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NC Ст. 15, расчёт ETRM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Аукционы мощностей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Рыночная цена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Через RBP-платформу</w:t>
            </w:r>
          </w:p>
        </w:tc>
      </w:tr>
    </w:tbl>
    <w:p>
      <w:pPr>
        <w:spacing w:before="80" w:after="160"/>
      </w:pP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Lean Canvas ключевые блоки: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Проблема: ручные процессы матчинга, нет кредитного контроля RT, штрафы регулятора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Решение: ETRM-система GTCP с 4 модулями автоматизации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УТП: единственная система с нативной 1С ERP + NC v2.4 в регионе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Потребительский сегмент: ООО «ГАЗ ТРАНС» + потенциально 12–15 ОТС стран СЕЕ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Источники дохода: CAPEX-проект + ежегодная поддержка</w:t>
      </w: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РАЗРАБОТКА И ПЛАНИРОВАНИЕ ПРОЕКТА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4.1 Road Map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Road Map проекта охватывает 18 месяцев и структурирован по 4 фазам: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М0–М3 — ФАЗА 1: Инициация и аналитика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Устав проекта, назначение команды, BRD (Business Requirements Document), Gap-анализ AS-IS → TO-BE, выбор технологического стека, утверждение архитектурных решений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М3–М5 — ФАЗА 2: Дизайн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SDD (Software Design Document), UX-прототипы портала грузоотправителей, план интеграций (SCADA, AFO, 1С, RBP), проектирование схемы данных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М5–М12 — ФАЗА 3: Разработка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Параллельная разработка 4 MVP-модулей, REST API, настройка EDIG@S-адаптера, CI/CD пайплайн, Code Review, внутреннее тестирование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М12–М18 — ФАЗА 4: Тестирование и внедрение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FAT у вендора (М12–М15), UAT у заказчика (М15–М16), Go-Live + параллельный запуск (М16–М17), стабилизация, обучение пользователей (М17–М18)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4.2 Иерархическая структура работ (WBS)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WBS верхнего уровня (2 уровня декомпозиции):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УПРАВЛЕНИЕ ПРОЕКТОМ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Инициация, планирование, мониторинг EVM, закрытие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БИЗНЕС-АНАЛИЗ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BRD, Gap-анализ AS-IS→TO-BE, SDD, архитектура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РАЗРАБОТКА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3.1 Номинации · 3.2 Кредит · 3.3 Балансировка · 3.4 Биллинг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EDIG@S, SCADA, 1С ERP, RBP, AFO (FGSZ, Bulgartransgas)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FAT (завод-изготовитель), UAT (заказчик), нагрузочное тестирование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ВНЕДРЕНИЕ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Миграция данных, обучение, параллельный запуск, Go-Live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80"/>
        <w:gridCol w:w="60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7.0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ПОДДЕРЖКА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SLA, мониторинг, патчи, документация</w:t>
            </w:r>
          </w:p>
        </w:tc>
      </w:tr>
    </w:tbl>
    <w:p>
      <w:pPr>
        <w:spacing w:before="20" w:after="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4.3 Смета затрат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Подробная смета представлена в файле GTCP_Diplom_Calculations.xlsx (лист «Смета затрат»). Сводка: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 затрат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Сумма (€)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Доля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 Лицензионное ПО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420 000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 Разработка и кастомизация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1 160 000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37.6%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 Интеграции (SCADA, 1С, AFO, RBP)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280 000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 Инфраструктура (серверы, ЦОД)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350 000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11.3%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 Управление и обучение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265 000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8.6%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6. Поддержка 2 года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9.7%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Резерв на риски (15%)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463 000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3 088 000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ФИНАНСОВОЕ УПРАВЛЕНИЕ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5.1 P&amp;L (Доходы и расходы)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Источник выручки ООО «ГАЗ ТРАНС» — тарифный доход от транспортировки газа, штрафы за небаланс и доходы от аукционов мощностей. Прогноз на 5 лет (подробный расчёт в Excel, лист «PnL»):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0"/>
        <w:gridCol w:w="1260"/>
        <w:gridCol w:w="1260"/>
        <w:gridCol w:w="1260"/>
        <w:gridCol w:w="12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Показатель (€К/мес)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Год 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Выручка FIRM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1 119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1 188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1 262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1 338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1 415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Выручка INT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281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Штрафы небаланс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ИТОГО выручка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1 408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1 504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1 602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1 692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1 785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OPEX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-99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-103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-107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-115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EBITDA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1 309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1 401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1 495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1 581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1 670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EBITDA маржа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92.9%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93.1%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93.3%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93.4%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93.6%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5.2 Cash Flow и окупаемость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Инвестиционный CAPEX проекта составляет € 3 088 000. Накопленный денежный поток (Cumulative CF):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Год 0 (внедрение): −€ 3 088 000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Год 1: −€ 1 432 000 (ежемесячная прибыль начинает покрывать CAPEX)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Год 2: +€ 352 000 (проект выходит в положительную зону)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Год 3–5: активная фаза окупаемости, NPV &gt; 0</w:t>
      </w:r>
    </w:p>
    <w:p>
      <w:pPr>
        <w:pBdr>
          <w:left w:val="single" w:color="00875A" w:sz="16" w:space="4"/>
        </w:pBdr>
        <w:shd w:fill="E6F4E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📈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Срок окупаемости (Payback Period): 2.5–3 года. ROI за 5 лет: &gt;400%. LTV/CAC = 115x.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5.3 Юнит-экономика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Расчёт на 1 грузоотправителя (единица — shipper-контракт):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Средний объём транспортировки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8 500 тыс.м³/мес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Выручка с FIRM-шиппера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€ 1 007 250 / мес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OPEX на 1 шиппера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€ 16 500 / мес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Валовая маржа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€ 990 750 / мес (98.4%)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CAC (CAPEX / 6 шипперов)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€ 514 667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LTV за 5 лет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€ 59.4М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LTV / CAC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115x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Payback на юнит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0.52 месяца</w:t>
            </w:r>
          </w:p>
        </w:tc>
      </w:tr>
    </w:tbl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6. УПРАВЛЕНИЕ РИСКАМИ И КАЧЕСТВОМ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6.1 Реестр рисков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Каждый риск оценён по шкале влияния (1–5) и вероятности (%), рассчитана ожидаемая стоимость нейтрализации (EV = Влияние × Вероятность × Оценка затрат). Полный реестр — в Excel, лист «Реестр рисков».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700"/>
        <w:gridCol w:w="1000"/>
        <w:gridCol w:w="3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 EV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Дефицит ETRM-специалистов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€ 108К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Pre-screening; удалённые эксперты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Изменения Сетевого Кодекса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€ 80К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Гибкая архитектура; буфер scope +10%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Санкционные ограничения ПО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€ 150К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Open-source стек; нейтральный вендор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Задержка интеграции 1С ERP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€ 60К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Ранний старт М3; mock-API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€ 83К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Change Management + MoSCoW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6.2 Метрики качества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Ключевые метрики качества GTCP ETRM: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Точность матчинга номинаций с AFO ≥ 99.5% (EDIG@S протокол)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Время выставления Margin Call ≤ 4 часа после триггерного события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Точность расчётов биллинга ≥ 99.9% (сверка с 1С ERP)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Uptime ≥ 99.9% (SLA)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Дефектов при UAT: &lt; 0.5% от общего числа тест-кейсов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Время формирования счёта-фактуры после газового дня ≤ 2 часа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6.3 Анализ первопричин (Root Cause Analysis)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Проблемный процесс: ручное сопоставление номинаций грузоотправителей с подтверждением AFO занимает 2–3 часа и приводит к ошибкам небаланса.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Диаграмма Ишикавы (5 категорий причин):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Человеческий фактор: Операторы вводят данные вручную; нет единого стандарта ввода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Процессы: Отсутствует автоматическая валидация против GTA-договора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Технологии: Нет EDIG@S-интерфейса; AFO уведомления по e-mail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Данные: Объёмы хранятся в Excel без контроля версий и аудит-лога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Управление: Нет KPI по времени матчинга; отклонения не отслеживаются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Предложение по улучшению: внедрение модуля Nomination Management с EDIG@S-адаптером устраняет все 5 категорий причин. Ожидаемый эффект: время матчинга сокращается с 2–3 часов до 3–5 минут.</w:t>
      </w: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7. ПРИМЕНИМОСТЬ ГИБКИХ ПОДХОДОВ К ПРОЕКТУ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7.1 Аргументы за и против Agile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 использование Agile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Против использования Pure Agile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Требования NC могут меняться в процессе
• Ранняя демонстрация ценности заказчику
• Быстрые циклы обратной связи
• Параллельная разработка 4 модулей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• FAT/UAT требуют фиксированных спецификаций
• Регуляторная приёмка по чёткому чеклисту
• Бюджет и сроки фиксированы договором
• 13 чел. — граница Scrum-команды (7±2)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7.2 Выбранная методология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Выбор: Scrum-BAN + PMBOK Gate Reviews — гибридная методология, объединяющая итеративную разработку Scrum с жёстким контролем ворот PMBOK.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Обоснование: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Спринты длительностью 2 недели обеспечивают частую обратную связь от заказчика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PMBOK Gate Reviews на ключевых вехах (М5, М12, М16) гарантируют соответствие регуляторным требованиям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EVM-мониторинг (SPI/CPI) ежемесячно контролирует отклонения бюджета и сроков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Kanban-доска (BAN-часть) управляет потоком задач интеграций и устранением дефектов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7.3 Контроль хода работ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Метрики управления: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Sprint Velocity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40 story points / спринт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 Software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Burn-down 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Отклонение ≤ 10%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 Software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SPI (Schedule Performance 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Dashboard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CPI (Cost Performance Index)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0.95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Dashboard</w:t>
            </w:r>
          </w:p>
        </w:tc>
      </w:tr>
    </w:tbl>
    <w:p>
      <w:pPr>
        <w:spacing w:before="20" w:after="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Defect Escape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0.5% на UAT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TestRail</w:t>
            </w:r>
          </w:p>
        </w:tc>
      </w:tr>
    </w:tbl>
    <w:p>
      <w:pPr>
        <w:spacing w:before="20" w:after="20"/>
      </w:pP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8. ДОПОЛНЕНИЕ ПО СПЕЦИАЛИЗАЦИИ: УПРАВЛЕНИЕ ПРОЕКТАМИ В IT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8.1 Техническая архитектура GTCP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Система построена на микросервисной архитектуре с event-driven коммуникацией через Apache Kafka. Каждый из 4 MVP-модулей — независимый микросервис со своей базой данных (паттерн Database-per-Service).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Presentation Layer: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React 18 SPA (портал грузоотправителей), Admin Dashboard (React + TypeScript), Swagger UI (документация API)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Application Layer: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Nomination Service, Credit Risk Service, Balancing OBA Service, Billing &amp; Invoice Service — все на Java 17 / Spring Boot 3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Integration Layer: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EDIG@S 5.0 Adapter (XML/AS4), SCADA REST Connector, 1С ERP Bridge (REST + XML), RBP Capacity API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Data Layer: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PostgreSQL 15 (основная БД, master-replica), Redis 7 (кэш и сессии), Kafka 3.5 (event bus), MinIO / S3 (документы и счета)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8.2 DevOps и 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CI/CD Pipeline: GitLab CI → Docker build → SonarQube (code quality) → Harbor (container registry) → Kubernetes (K8s)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Мониторинг: Zabbix (инфраструктура) + Grafana (метрики приложений) + ELK Stack (логи)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Безопасность: LDAP/SSO (аутентификация), DMZ (демилитаризованная зона для EDIG@S), Penetration Testing на М13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SLA: API Uptime ≥ 99.9%; RTO (Recovery Time Objective) ≤ 4 часа; RPO (Recovery Point Objective) ≤ 1 час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8.3 Дополнительные задания специализации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 рамках специализации «Управление проектами в IT» к дипломному проекту добавлены: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Детализированный план управления техническим долгом (Technical Debt Management Plan)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Матрица трассируемости требований (RTM — Requirements Traceability Matrix): BRD → SDD → Test Cases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Политика управления инцидентами: P1 (критичный) — SLA 2 ч; P2 — 8 ч; P3 — 24 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Архитектурные диаграммы: C4 Model (Context, Container, Component, Code)</w:t>
      </w: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9. ВЫВОДЫ ИЗ РАБОТЫ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9.1 Реализуемость проекта</w:t>
      </w:r>
    </w:p>
    <w:p>
      <w:pPr>
        <w:pBdr>
          <w:left w:val="single" w:color="00875A" w:sz="16" w:space="4"/>
        </w:pBdr>
        <w:shd w:fill="E6F4E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✅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Вывод: проект реализуем. Техническое решение подтверждено реальными аналогами — GASTRANS (Сербия) и Unicorn Systems ETRM (Чехия). Бюджет и сроки соответствуют отраслевым бенчмаркам.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9.2 Сильные стороны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Уникальная рыночная позиция: нативная интеграция 1С ERP и NC v2.4 отсутствуют у всех прямых конкурентов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Высокая экономическая эффективность: LTV/CAC = 115x, Payback 2.5–3 года, EBITDA-маржинальность &gt;90%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Масштабируемая архитектура: каждый модуль может быть тиражирован или заменён независимо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Гибридная методология обеспечивает баланс между гибкостью и предсказуемостью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9.3 Слабые стороны и ограничения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Разработка с нуля создаёт риск задержек на этапах BRD и дизайна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Высокая зависимость от ключевых специалистов (архитектор, NC-аналитик)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Срок внедрения 18 месяцев требует стабильного финансирования и поддержки топ-менеджмента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9.4 Перспективы развития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Тиражирование в 6+ стран СЕЕ (Хорватия, Болгария, Румыния, Венгрия, Словения, Северная Македония)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Добавление ML-модуля для прогнозирования небаланса и оптимизации OBA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Внедрение Digital Twin газопровода на базе SCADA-данных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Интеграция с EU Energy Datahub (ENTSO-G Transparency Platform)</w:t>
      </w:r>
    </w:p>
    <w:p>
      <w:r>
        <w:br w:type="page"/>
      </w:r>
    </w:p>
    <w:p>
      <w:pPr>
        <w:pStyle w:val="Heading1"/>
        <w:pBdr>
          <w:bottom w:val="single" w:color="00A8CC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10. РЕКОМЕНДАЦИИ ПО УПРАВЛЕНИЮ ПРОЕКТОМ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10.1 Ближайшие шаги (следующие 3 месяца)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М0: Подписать устав проекта и утвердить команду из 13 специалистов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М0–М1: Провести установочный воркшоп с заказчиком — зафиксировать AS-IS процессы и приоритеты в бэклоге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М1–М3: Завершить BRD и Gap-анализ; получить подпись стейкхолдеров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М2: Провести тендер и выбрать ETRM-вендора; подписать контракт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М3: PMBOK Gate Review #1 — переход к фазе дизайна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10.2 Критические факторы успеха (CSF)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Вовлечённость топ-менеджмента ООО «ГАЗ ТРАНС» на всех этапах (особенно при смене NC требований)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Ранний старт интеграционного трека с 1С ERP (не позднее М3) — критически важно для финального Go-Live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Привлечение сертифицированного NC-специалиста в команду бизнес-аналитиков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Регулярные (ежемесячные) EVM-сессии для раннего выявления отклонений CPI/SPI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Жёсткий Change Management: все изменения требований через формальный Change Request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761"/>
          <w:sz w:val="24"/>
          <w:szCs w:val="24"/>
        </w:rPr>
        <w:t xml:space="preserve">10.3 Рекомендации по метрикам после Go-Live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После перехода в промышленную эксплуатацию рекомендуется ежемесячно отслеживать: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Matching Accuracy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99.5%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System Log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Margin Call Lead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 4 часа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ETRM Monitor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Uptime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99.9%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Zabbix / Grafana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Billing Accuracy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 99.9%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1С сверка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Imbalance vs Norm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 3%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OBA Dashboard</w:t>
            </w:r>
          </w:p>
        </w:tc>
      </w:tr>
    </w:tbl>
    <w:p>
      <w:pPr>
        <w:spacing w:before="160" w:after="80"/>
      </w:pPr>
    </w:p>
    <w:p>
      <w:pPr>
        <w:pBdr>
          <w:left w:val="single" w:color="00A8CC" w:sz="16" w:space="4"/>
        </w:pBdr>
        <w:shd w:fill="E8F0FE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🎯 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  Итоговая рекомендация: запустить проект в соответствии с утверждённым планом. Резерв 15% и гибридная методология обеспечивают необходимый буфер. При соблюдении CSF проект будет завершён в срок и в рамках бюджета.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Менеджер проектов: расширенный курс · Специализация: Управление проектами в 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GTCP — Gas Trading &amp; Commercial Platform · Дипломная работа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A8C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2026-02-22T22:02:21.867Z</dcterms:created>
  <dcterms:modified xsi:type="dcterms:W3CDTF">2026-02-22T22:02:21.868Z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