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spacing w:before="0" w:after="80"/>
        <w:pBdr>
          <w:bottom w:val="single" w:sz="12" w:space="1" w:color="1F3864"/>
        </w:pBdr>
      </w:pPr>
      <w:r>
        <w:rPr>
          <w:rFonts w:ascii="Times New Roman" w:hAnsi="Times New Roman" w:cs="Times New Roman"/>
          <w:b/>
          <w:i w:val="0"/>
          <w:color w:val="1F3864"/>
          <w:sz w:val="40"/>
        </w:rPr>
        <w:t>ОТЧЁТ О ХОДЕ РАЗРАБОТКИ</w:t>
      </w:r>
    </w:p>
    <w:p>
      <w:pPr>
        <w:jc w:val="center"/>
        <w:spacing w:before="80" w:after="80"/>
      </w:pPr>
      <w:r>
        <w:rPr>
          <w:rFonts w:ascii="Times New Roman" w:hAnsi="Times New Roman" w:cs="Times New Roman"/>
          <w:b w:val="0"/>
          <w:i w:val="0"/>
          <w:sz w:val="28"/>
        </w:rPr>
        <w:t>MVP веб-приложения</w:t>
      </w:r>
    </w:p>
    <w:p>
      <w:pPr>
        <w:jc w:val="center"/>
        <w:spacing w:before="0" w:after="600"/>
      </w:pPr>
      <w:r>
        <w:rPr>
          <w:rFonts w:ascii="Times New Roman" w:hAnsi="Times New Roman" w:cs="Times New Roman"/>
          <w:b/>
          <w:i w:val="0"/>
          <w:color w:val="1F3864"/>
          <w:sz w:val="32"/>
        </w:rPr>
        <w:t>«GTCP — Gas Trading &amp; Commercial Platform»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tcBorders>
              <w:top w:val="single" w:sz="4" w:color="1F3864"/>
              <w:left w:val="single" w:sz="4" w:color="1F3864"/>
              <w:bottom w:val="single" w:sz="4" w:color="1F3864"/>
              <w:right w:val="single" w:sz="4" w:color="1F3864"/>
            </w:tcBorders>
            <w:shd w:val="clear" w:color="auto" w:fill="1F3864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</w:rPr>
              <w:t>Параметр</w:t>
            </w:r>
          </w:p>
        </w:tc>
        <w:tc>
          <w:tcPr>
            <w:tcW w:type="dxa" w:w="6520"/>
            <w:tcBorders>
              <w:top w:val="single" w:sz="4" w:color="1F3864"/>
              <w:left w:val="single" w:sz="4" w:color="1F3864"/>
              <w:bottom w:val="single" w:sz="4" w:color="1F3864"/>
              <w:right w:val="single" w:sz="4" w:color="1F3864"/>
            </w:tcBorders>
            <w:shd w:val="clear" w:color="auto" w:fill="1F3864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</w:rPr>
              <w:t>Значение</w:t>
            </w:r>
          </w:p>
        </w:tc>
      </w:tr>
      <w:tr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Дата отчёта</w:t>
            </w:r>
          </w:p>
        </w:tc>
        <w:tc>
          <w:tcPr>
            <w:tcW w:type="dxa" w:w="65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23.03.2026</w:t>
            </w:r>
          </w:p>
        </w:tc>
      </w:tr>
      <w:tr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Версия MVP</w:t>
            </w:r>
          </w:p>
        </w:tc>
        <w:tc>
          <w:tcPr>
            <w:tcW w:type="dxa" w:w="65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1.0 — первый релиз</w:t>
            </w:r>
          </w:p>
        </w:tc>
      </w:tr>
      <w:tr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Статус разработки</w:t>
            </w:r>
          </w:p>
        </w:tc>
        <w:tc>
          <w:tcPr>
            <w:tcW w:type="dxa" w:w="65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✓ ЗАВЕРШЕНО — все 15 FR реализованы</w:t>
            </w:r>
          </w:p>
        </w:tc>
      </w:tr>
      <w:tr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Документ-основание</w:t>
            </w:r>
          </w:p>
        </w:tc>
        <w:tc>
          <w:tcPr>
            <w:tcW w:type="dxa" w:w="65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ТЗ GTCP-ТЗ-MVP-2026 v1.0</w:t>
            </w:r>
          </w:p>
        </w:tc>
      </w:tr>
      <w:tr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Составитель</w:t>
            </w:r>
          </w:p>
        </w:tc>
        <w:tc>
          <w:tcPr>
            <w:tcW w:type="dxa" w:w="65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Кравчук Л.А.</w:t>
            </w:r>
          </w:p>
        </w:tc>
      </w:tr>
      <w:tr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Программа</w:t>
            </w:r>
          </w:p>
        </w:tc>
        <w:tc>
          <w:tcPr>
            <w:tcW w:type="dxa" w:w="65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Управление проектами (PMNz-74)</w:t>
            </w:r>
          </w:p>
        </w:tc>
      </w:tr>
    </w:tbl>
    <w:p/>
    <w:p>
      <w:r>
        <w:br w:type="page"/>
      </w:r>
    </w:p>
    <w:p>
      <w:pPr>
        <w:jc w:val="left"/>
        <w:spacing w:before="240" w:after="120"/>
        <w:pBdr>
          <w:bottom w:val="single" w:sz="8" w:space="1" w:color="1F3864"/>
        </w:pBdr>
      </w:pPr>
      <w:r>
        <w:rPr>
          <w:rFonts w:ascii="Times New Roman" w:hAnsi="Times New Roman" w:cs="Times New Roman"/>
          <w:b/>
          <w:i w:val="0"/>
          <w:color w:val="1F3864"/>
          <w:sz w:val="28"/>
        </w:rPr>
        <w:t>1. ИСПОЛНИТЕЛЬНОЕ РЕЗЮМЕ</w:t>
      </w:r>
    </w:p>
    <w:p>
      <w:pPr>
        <w:ind w:firstLine="709"/>
        <w:jc w:val="both"/>
        <w:spacing w:before="40" w:after="4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В рамках дипломного проекта разработан и сдан в опытную эксплуатацию MVP (Minimum Viable Product) специализированного веб-приложения класса ETRM/GTCP. Продукт реализован в соответствии с утверждённым Техническим заданием (GTCP-ТЗ-MVP-2026 v1.0) и охватывает все 15 функциональных требований.</w:t>
      </w:r>
    </w:p>
    <w:p>
      <w:pPr>
        <w:ind w:firstLine="709"/>
        <w:jc w:val="both"/>
        <w:spacing w:before="40" w:after="4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Результатом разработки является полнофункциональный одностраничный веб-интерфейс (SPA), не требующий установки, работающий в браузере и демонстрирующий полный операционный цикл газовой торговой компании: от регистрации грузоотправителей и управления номинациями до кредитного мониторинга, биллинга и аудита.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118"/>
            <w:tcBorders>
              <w:top w:val="single" w:sz="4" w:color="1F3864"/>
              <w:left w:val="single" w:sz="4" w:color="1F3864"/>
              <w:bottom w:val="single" w:sz="4" w:color="1F3864"/>
              <w:right w:val="single" w:sz="4" w:color="1F3864"/>
            </w:tcBorders>
            <w:shd w:val="clear" w:color="auto" w:fill="1F3864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</w:rPr>
              <w:t>Показатель</w:t>
            </w:r>
          </w:p>
        </w:tc>
        <w:tc>
          <w:tcPr>
            <w:tcW w:type="dxa" w:w="2268"/>
            <w:tcBorders>
              <w:top w:val="single" w:sz="4" w:color="1F3864"/>
              <w:left w:val="single" w:sz="4" w:color="1F3864"/>
              <w:bottom w:val="single" w:sz="4" w:color="1F3864"/>
              <w:right w:val="single" w:sz="4" w:color="1F3864"/>
            </w:tcBorders>
            <w:shd w:val="clear" w:color="auto" w:fill="1F3864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</w:rPr>
              <w:t>Плановое значение (ТЗ)</w:t>
            </w:r>
          </w:p>
        </w:tc>
        <w:tc>
          <w:tcPr>
            <w:tcW w:type="dxa" w:w="2268"/>
            <w:tcBorders>
              <w:top w:val="single" w:sz="4" w:color="1F3864"/>
              <w:left w:val="single" w:sz="4" w:color="1F3864"/>
              <w:bottom w:val="single" w:sz="4" w:color="1F3864"/>
              <w:right w:val="single" w:sz="4" w:color="1F3864"/>
            </w:tcBorders>
            <w:shd w:val="clear" w:color="auto" w:fill="1F3864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</w:rPr>
              <w:t>Фактически достигнуто</w:t>
            </w:r>
          </w:p>
        </w:tc>
        <w:tc>
          <w:tcPr>
            <w:tcW w:type="dxa" w:w="1984"/>
            <w:tcBorders>
              <w:top w:val="single" w:sz="4" w:color="1F3864"/>
              <w:left w:val="single" w:sz="4" w:color="1F3864"/>
              <w:bottom w:val="single" w:sz="4" w:color="1F3864"/>
              <w:right w:val="single" w:sz="4" w:color="1F3864"/>
            </w:tcBorders>
            <w:shd w:val="clear" w:color="auto" w:fill="1F3864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</w:rPr>
              <w:t>Статус</w:t>
            </w:r>
          </w:p>
        </w:tc>
      </w:tr>
      <w:tr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Кол-во FR реализовано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15 (FR-01 — FR-15)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15 / 15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✓ 100%</w:t>
            </w:r>
          </w:p>
        </w:tc>
      </w:tr>
      <w:tr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Функциональных модулей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8 (+ Аудит)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✓ Перевыполнено</w:t>
            </w:r>
          </w:p>
        </w:tc>
      </w:tr>
      <w:tr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Ролей пользователей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✓ 100%</w:t>
            </w:r>
          </w:p>
        </w:tc>
      </w:tr>
      <w:tr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Проверок безопасности (OWASP)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RBAC, Input validation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Реализованы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✓ OK</w:t>
            </w:r>
          </w:p>
        </w:tc>
      </w:tr>
      <w:tr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Время отклика UI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&lt; 2 сек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&lt; 1 сек (SPA)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✓ OK</w:t>
            </w:r>
          </w:p>
        </w:tc>
      </w:tr>
      <w:tr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Формат доставки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Один HTML-файл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GTCP_MVP.html (77 КБ)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✓ Готово</w:t>
            </w:r>
          </w:p>
        </w:tc>
      </w:tr>
    </w:tbl>
    <w:p/>
    <w:p>
      <w:r>
        <w:br w:type="page"/>
      </w:r>
    </w:p>
    <w:p>
      <w:pPr>
        <w:jc w:val="left"/>
        <w:spacing w:before="240" w:after="120"/>
        <w:pBdr>
          <w:bottom w:val="single" w:sz="8" w:space="1" w:color="1F3864"/>
        </w:pBdr>
      </w:pPr>
      <w:r>
        <w:rPr>
          <w:rFonts w:ascii="Times New Roman" w:hAnsi="Times New Roman" w:cs="Times New Roman"/>
          <w:b/>
          <w:i w:val="0"/>
          <w:color w:val="1F3864"/>
          <w:sz w:val="28"/>
        </w:rPr>
        <w:t>2. ВЫПОЛНЕНИЕ ФУНКЦИОНАЛЬНЫХ ТРЕБОВАНИЙ ТЗ</w:t>
      </w:r>
    </w:p>
    <w:p>
      <w:pPr>
        <w:jc w:val="both"/>
        <w:spacing w:before="40" w:after="4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В таблице ниже приведена трассировка всех 15 функциональных требований из ТЗ к реализованным компонентам MVP.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737"/>
            <w:tcBorders>
              <w:top w:val="single" w:sz="4" w:color="1F3864"/>
              <w:left w:val="single" w:sz="4" w:color="1F3864"/>
              <w:bottom w:val="single" w:sz="4" w:color="1F3864"/>
              <w:right w:val="single" w:sz="4" w:color="1F3864"/>
            </w:tcBorders>
            <w:shd w:val="clear" w:color="auto" w:fill="1F3864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</w:rPr>
              <w:t>ID</w:t>
            </w:r>
          </w:p>
        </w:tc>
        <w:tc>
          <w:tcPr>
            <w:tcW w:type="dxa" w:w="1984"/>
            <w:tcBorders>
              <w:top w:val="single" w:sz="4" w:color="1F3864"/>
              <w:left w:val="single" w:sz="4" w:color="1F3864"/>
              <w:bottom w:val="single" w:sz="4" w:color="1F3864"/>
              <w:right w:val="single" w:sz="4" w:color="1F3864"/>
            </w:tcBorders>
            <w:shd w:val="clear" w:color="auto" w:fill="1F3864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</w:rPr>
              <w:t>Требование</w:t>
            </w:r>
          </w:p>
        </w:tc>
        <w:tc>
          <w:tcPr>
            <w:tcW w:type="dxa" w:w="2268"/>
            <w:tcBorders>
              <w:top w:val="single" w:sz="4" w:color="1F3864"/>
              <w:left w:val="single" w:sz="4" w:color="1F3864"/>
              <w:bottom w:val="single" w:sz="4" w:color="1F3864"/>
              <w:right w:val="single" w:sz="4" w:color="1F3864"/>
            </w:tcBorders>
            <w:shd w:val="clear" w:color="auto" w:fill="1F3864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</w:rPr>
              <w:t>Модуль / Компонент</w:t>
            </w:r>
          </w:p>
        </w:tc>
        <w:tc>
          <w:tcPr>
            <w:tcW w:type="dxa" w:w="1020"/>
            <w:tcBorders>
              <w:top w:val="single" w:sz="4" w:color="1F3864"/>
              <w:left w:val="single" w:sz="4" w:color="1F3864"/>
              <w:bottom w:val="single" w:sz="4" w:color="1F3864"/>
              <w:right w:val="single" w:sz="4" w:color="1F3864"/>
            </w:tcBorders>
            <w:shd w:val="clear" w:color="auto" w:fill="1F3864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</w:rPr>
              <w:t>Статус</w:t>
            </w:r>
          </w:p>
        </w:tc>
        <w:tc>
          <w:tcPr>
            <w:tcW w:type="dxa" w:w="3628"/>
            <w:tcBorders>
              <w:top w:val="single" w:sz="4" w:color="1F3864"/>
              <w:left w:val="single" w:sz="4" w:color="1F3864"/>
              <w:bottom w:val="single" w:sz="4" w:color="1F3864"/>
              <w:right w:val="single" w:sz="4" w:color="1F3864"/>
            </w:tcBorders>
            <w:shd w:val="clear" w:color="auto" w:fill="1F3864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</w:rPr>
              <w:t>Примечание</w:t>
            </w:r>
          </w:p>
        </w:tc>
      </w:tr>
      <w:tr>
        <w:tc>
          <w:tcPr>
            <w:tcW w:type="dxa" w:w="7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FR-01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Аутентификация и RBAC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Login screen + filterNavByRole()</w:t>
            </w:r>
          </w:p>
        </w:tc>
        <w:tc>
          <w:tcPr>
            <w:tcW w:type="dxa" w:w="10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✓ Готово</w:t>
            </w:r>
          </w:p>
        </w:tc>
        <w:tc>
          <w:tcPr>
            <w:tcW w:type="dxa" w:w="36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 ролей, пароль, скрытие модулей</w:t>
            </w:r>
          </w:p>
        </w:tc>
      </w:tr>
      <w:tr>
        <w:tc>
          <w:tcPr>
            <w:tcW w:type="dxa" w:w="7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FR-02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Dashboard / KPI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renderDashboard()</w:t>
            </w:r>
          </w:p>
        </w:tc>
        <w:tc>
          <w:tcPr>
            <w:tcW w:type="dxa" w:w="10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✓ Готово</w:t>
            </w:r>
          </w:p>
        </w:tc>
        <w:tc>
          <w:tcPr>
            <w:tcW w:type="dxa" w:w="36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 KPI-карточки, авто-обновление 30 сек</w:t>
            </w:r>
          </w:p>
        </w:tc>
      </w:tr>
      <w:tr>
        <w:tc>
          <w:tcPr>
            <w:tcW w:type="dxa" w:w="7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FR-03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Реестр грузоотправителей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shippers[] + таблица</w:t>
            </w:r>
          </w:p>
        </w:tc>
        <w:tc>
          <w:tcPr>
            <w:tcW w:type="dxa" w:w="10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✓ Готово</w:t>
            </w:r>
          </w:p>
        </w:tc>
        <w:tc>
          <w:tcPr>
            <w:tcW w:type="dxa" w:w="36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 шипперов, кредит, мощности</w:t>
            </w:r>
          </w:p>
        </w:tc>
      </w:tr>
      <w:tr>
        <w:tc>
          <w:tcPr>
            <w:tcW w:type="dxa" w:w="7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FR-04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Создание номинации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createNomination()</w:t>
            </w:r>
          </w:p>
        </w:tc>
        <w:tc>
          <w:tcPr>
            <w:tcW w:type="dxa" w:w="10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✓ Готово</w:t>
            </w:r>
          </w:p>
        </w:tc>
        <w:tc>
          <w:tcPr>
            <w:tcW w:type="dxa" w:w="36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Форма + проверка кредитного лимита</w:t>
            </w:r>
          </w:p>
        </w:tc>
      </w:tr>
      <w:tr>
        <w:tc>
          <w:tcPr>
            <w:tcW w:type="dxa" w:w="7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FR-05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Статусная модель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PENDING→MATCHING→CONFIRMED</w:t>
            </w:r>
          </w:p>
        </w:tc>
        <w:tc>
          <w:tcPr>
            <w:tcW w:type="dxa" w:w="10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✓ Готово</w:t>
            </w:r>
          </w:p>
        </w:tc>
        <w:tc>
          <w:tcPr>
            <w:tcW w:type="dxa" w:w="36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 статусов, временные метки</w:t>
            </w:r>
          </w:p>
        </w:tc>
      </w:tr>
      <w:tr>
        <w:tc>
          <w:tcPr>
            <w:tcW w:type="dxa" w:w="7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FR-06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Матчинг номинаций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runMatching()</w:t>
            </w:r>
          </w:p>
        </w:tc>
        <w:tc>
          <w:tcPr>
            <w:tcW w:type="dxa" w:w="10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✓ Готово</w:t>
            </w:r>
          </w:p>
        </w:tc>
        <w:tc>
          <w:tcPr>
            <w:tcW w:type="dxa" w:w="36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Автоматич. ENTRY/EXIT, анимация</w:t>
            </w:r>
          </w:p>
        </w:tc>
      </w:tr>
      <w:tr>
        <w:tc>
          <w:tcPr>
            <w:tcW w:type="dxa" w:w="7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FR-07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Реноминации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openRenom() + checkRenom()</w:t>
            </w:r>
          </w:p>
        </w:tc>
        <w:tc>
          <w:tcPr>
            <w:tcW w:type="dxa" w:w="10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✓ Готово</w:t>
            </w:r>
          </w:p>
        </w:tc>
        <w:tc>
          <w:tcPr>
            <w:tcW w:type="dxa" w:w="36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±10% авто, &gt;110% → одобрение</w:t>
            </w:r>
          </w:p>
        </w:tc>
      </w:tr>
      <w:tr>
        <w:tc>
          <w:tcPr>
            <w:tcW w:type="dxa" w:w="7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FR-08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Кредитный монитор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renderCredit()</w:t>
            </w:r>
          </w:p>
        </w:tc>
        <w:tc>
          <w:tcPr>
            <w:tcW w:type="dxa" w:w="10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✓ Готово</w:t>
            </w:r>
          </w:p>
        </w:tc>
        <w:tc>
          <w:tcPr>
            <w:tcW w:type="dxa" w:w="36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Прогресс-бары, цветовые статусы</w:t>
            </w:r>
          </w:p>
        </w:tc>
      </w:tr>
      <w:tr>
        <w:tc>
          <w:tcPr>
            <w:tcW w:type="dxa" w:w="7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FR-09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Margin Call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sendMarginCall()</w:t>
            </w:r>
          </w:p>
        </w:tc>
        <w:tc>
          <w:tcPr>
            <w:tcW w:type="dxa" w:w="10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✓ Готово</w:t>
            </w:r>
          </w:p>
        </w:tc>
        <w:tc>
          <w:tcPr>
            <w:tcW w:type="dxa" w:w="36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Форма, авторасчёт, история MCL</w:t>
            </w:r>
          </w:p>
        </w:tc>
      </w:tr>
      <w:tr>
        <w:tc>
          <w:tcPr>
            <w:tcW w:type="dxa" w:w="7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FR-10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Баланс мощностей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renderBalance()</w:t>
            </w:r>
          </w:p>
        </w:tc>
        <w:tc>
          <w:tcPr>
            <w:tcW w:type="dxa" w:w="10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✓ Готово</w:t>
            </w:r>
          </w:p>
        </w:tc>
        <w:tc>
          <w:tcPr>
            <w:tcW w:type="dxa" w:w="36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Хоргош + Господжинцы, имбаланс</w:t>
            </w:r>
          </w:p>
        </w:tc>
      </w:tr>
      <w:tr>
        <w:tc>
          <w:tcPr>
            <w:tcW w:type="dxa" w:w="7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FR-11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Создание счёта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createInvoice()</w:t>
            </w:r>
          </w:p>
        </w:tc>
        <w:tc>
          <w:tcPr>
            <w:tcW w:type="dxa" w:w="10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✓ Готово</w:t>
            </w:r>
          </w:p>
        </w:tc>
        <w:tc>
          <w:tcPr>
            <w:tcW w:type="dxa" w:w="36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Авторасчёт суммы, 4 статуса</w:t>
            </w:r>
          </w:p>
        </w:tc>
      </w:tr>
      <w:tr>
        <w:tc>
          <w:tcPr>
            <w:tcW w:type="dxa" w:w="7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FR-12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Синхронизация ERP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erpSync()</w:t>
            </w:r>
          </w:p>
        </w:tc>
        <w:tc>
          <w:tcPr>
            <w:tcW w:type="dxa" w:w="10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✓ Готово</w:t>
            </w:r>
          </w:p>
        </w:tc>
        <w:tc>
          <w:tcPr>
            <w:tcW w:type="dxa" w:w="36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Симуляция 1С ERP + журнал</w:t>
            </w:r>
          </w:p>
        </w:tc>
      </w:tr>
      <w:tr>
        <w:tc>
          <w:tcPr>
            <w:tcW w:type="dxa" w:w="7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FR-13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Реестр договоров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renderContracts()</w:t>
            </w:r>
          </w:p>
        </w:tc>
        <w:tc>
          <w:tcPr>
            <w:tcW w:type="dxa" w:w="10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✓ Готово</w:t>
            </w:r>
          </w:p>
        </w:tc>
        <w:tc>
          <w:tcPr>
            <w:tcW w:type="dxa" w:w="36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Типы, сроки, индикация истечения</w:t>
            </w:r>
          </w:p>
        </w:tc>
      </w:tr>
      <w:tr>
        <w:tc>
          <w:tcPr>
            <w:tcW w:type="dxa" w:w="7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FR-14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Мощности (Capacity)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renderCapacity()</w:t>
            </w:r>
          </w:p>
        </w:tc>
        <w:tc>
          <w:tcPr>
            <w:tcW w:type="dxa" w:w="10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✓ Готово</w:t>
            </w:r>
          </w:p>
        </w:tc>
        <w:tc>
          <w:tcPr>
            <w:tcW w:type="dxa" w:w="36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FIRM/INT, фильтр по точке</w:t>
            </w:r>
          </w:p>
        </w:tc>
      </w:tr>
      <w:tr>
        <w:tc>
          <w:tcPr>
            <w:tcW w:type="dxa" w:w="7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FR-15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Журнал аудита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addAudit() + renderAudit()</w:t>
            </w:r>
          </w:p>
        </w:tc>
        <w:tc>
          <w:tcPr>
            <w:tcW w:type="dxa" w:w="10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✓ Готово</w:t>
            </w:r>
          </w:p>
        </w:tc>
        <w:tc>
          <w:tcPr>
            <w:tcW w:type="dxa" w:w="36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Все действия, фильтр по модулю</w:t>
            </w:r>
          </w:p>
        </w:tc>
      </w:tr>
    </w:tbl>
    <w:p/>
    <w:p>
      <w:r>
        <w:br w:type="page"/>
      </w:r>
    </w:p>
    <w:p>
      <w:pPr>
        <w:jc w:val="left"/>
        <w:spacing w:before="240" w:after="120"/>
        <w:pBdr>
          <w:bottom w:val="single" w:sz="8" w:space="1" w:color="1F3864"/>
        </w:pBdr>
      </w:pPr>
      <w:r>
        <w:rPr>
          <w:rFonts w:ascii="Times New Roman" w:hAnsi="Times New Roman" w:cs="Times New Roman"/>
          <w:b/>
          <w:i w:val="0"/>
          <w:color w:val="1F3864"/>
          <w:sz w:val="28"/>
        </w:rPr>
        <w:t>3. ОПИСАНИЕ РЕАЛИЗОВАННЫХ МОДУЛЕЙ</w:t>
      </w:r>
    </w:p>
    <w:p>
      <w:pPr>
        <w:jc w:val="left"/>
        <w:spacing w:before="200" w:after="80"/>
      </w:pPr>
      <w:r>
        <w:rPr>
          <w:rFonts w:ascii="Times New Roman" w:hAnsi="Times New Roman" w:cs="Times New Roman"/>
          <w:b/>
          <w:i w:val="0"/>
          <w:color w:val="1F3864"/>
          <w:sz w:val="26"/>
        </w:rPr>
        <w:t>Модуль 1 — Аутентификация и RBAC (FR-01)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Экран входа с выбором роли (5 ролей): Диспетчер, Кредитный менеджер, Биллинг, Договоры, Администратор;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Проверка логина/пароля, блокировка при неверных данных;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Функция filterNavByRole() — скрывает в меню недоступные для роли разделы;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Журналирование входа/выхода в журнале аудита с временной меткой.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Кнопка выхода из системы с подтверждением.</w:t>
      </w:r>
    </w:p>
    <w:p>
      <w:pPr>
        <w:jc w:val="left"/>
        <w:spacing w:before="200" w:after="80"/>
      </w:pPr>
      <w:r>
        <w:rPr>
          <w:rFonts w:ascii="Times New Roman" w:hAnsi="Times New Roman" w:cs="Times New Roman"/>
          <w:b/>
          <w:i w:val="0"/>
          <w:color w:val="1F3864"/>
          <w:sz w:val="26"/>
        </w:rPr>
        <w:t>Модуль 2 — Dashboard (FR-02, FR-03)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4 KPI-карточки: объём номинаций (МВт·ч/сут), активные грузоотправители, счета к получению (EUR), нарушения кредита;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Таблица активных грузоотправителей с кредитными статусами (цветовое кодирование);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Красные alert-баннеры при превышении кредитного лимита со ссылкой на кредитный монитор;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Таблицы последних номинаций и счетов;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Кнопка ручного обновления и автоматический рефреш каждые 30 секунд.</w:t>
      </w:r>
    </w:p>
    <w:p>
      <w:pPr>
        <w:jc w:val="left"/>
        <w:spacing w:before="200" w:after="80"/>
      </w:pPr>
      <w:r>
        <w:rPr>
          <w:rFonts w:ascii="Times New Roman" w:hAnsi="Times New Roman" w:cs="Times New Roman"/>
          <w:b/>
          <w:i w:val="0"/>
          <w:color w:val="1F3864"/>
          <w:sz w:val="26"/>
        </w:rPr>
        <w:t>Модуль 3 — Управление номинациями (FR-04–FR-07)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Форма создания номинации: выбор грузоотправителя, точки, направления (ENTRY/EXIT), объёма и газовых суток;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Предупреждение при достижении 85% кредитного лимита; блокировка при 100%;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Вкладки по статусам с счётчиками: Все / Входящие / На матчинге / Подтверждены / Реноминации / Отклонены;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Кнопка «Запустить матчинг» — автоматически сопоставляет пары ENTRY/EXIT одного грузоотправителя за те же газовые сутки;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Реноминация: изменение объёма, проверка ±10% от базового, при &gt;110% — запрос одобрения диспетчера.</w:t>
      </w:r>
    </w:p>
    <w:p>
      <w:pPr>
        <w:jc w:val="left"/>
        <w:spacing w:before="200" w:after="80"/>
      </w:pPr>
      <w:r>
        <w:rPr>
          <w:rFonts w:ascii="Times New Roman" w:hAnsi="Times New Roman" w:cs="Times New Roman"/>
          <w:b/>
          <w:i w:val="0"/>
          <w:color w:val="1F3864"/>
          <w:sz w:val="26"/>
        </w:rPr>
        <w:t>Модуль 4 — Кредитный монитор (FR-08, FR-09)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Таблица кредитных позиций в реальном времени: лимит, экспозиция, остаток, процент использования;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Прогресс-бары с цветовым кодированием: зелёный (&lt;80%), жёлтый (80–100%), красный (&gt;100%);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Форма Margin Call: автозаполнение суммы превышения, срок исполнения, правовое основание;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История всех отправленных Margin Call с датами и суммами.</w:t>
      </w:r>
    </w:p>
    <w:p>
      <w:pPr>
        <w:jc w:val="left"/>
        <w:spacing w:before="200" w:after="80"/>
      </w:pPr>
      <w:r>
        <w:rPr>
          <w:rFonts w:ascii="Times New Roman" w:hAnsi="Times New Roman" w:cs="Times New Roman"/>
          <w:b/>
          <w:i w:val="0"/>
          <w:color w:val="1F3864"/>
          <w:sz w:val="26"/>
        </w:rPr>
        <w:t>Модуль 5 — Баланс мощностей (FR-10)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Карточки по двум точкам: Хоргош (ENTRY) и Господжинцы (EXIT);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Визуализация: физическая мощность / номинировано / свободный остаток с прогресс-барами;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Предупреждение при загрузке точки &gt;90% от физической мощности;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Таблица детализации по грузоотправителям с расчётом имбаланса ENTRY − EXIT.</w:t>
      </w:r>
    </w:p>
    <w:p>
      <w:pPr>
        <w:jc w:val="left"/>
        <w:spacing w:before="200" w:after="80"/>
      </w:pPr>
      <w:r>
        <w:rPr>
          <w:rFonts w:ascii="Times New Roman" w:hAnsi="Times New Roman" w:cs="Times New Roman"/>
          <w:b/>
          <w:i w:val="0"/>
          <w:color w:val="1F3864"/>
          <w:sz w:val="26"/>
        </w:rPr>
        <w:t>Модуль 6 — Биллинг (FR-11, FR-12)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Создание счёта-фактуры: грузоотправитель, период, объём, тариф, автоматический расчёт суммы;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Статусная модель: ВЫСТАВЛЕН → ОЖИДАЕТ ОПЛАТЫ → ОПЛАЧЕН / ПРОСРОЧЕННЫЙ;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Сводные KPI биллинга: итого выставлено, к получению, просрочено;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Функция ERP-синхронизации: симуляция передачи данных в 1С с журналированием события.</w:t>
      </w:r>
    </w:p>
    <w:p>
      <w:pPr>
        <w:jc w:val="left"/>
        <w:spacing w:before="200" w:after="80"/>
      </w:pPr>
      <w:r>
        <w:rPr>
          <w:rFonts w:ascii="Times New Roman" w:hAnsi="Times New Roman" w:cs="Times New Roman"/>
          <w:b/>
          <w:i w:val="0"/>
          <w:color w:val="1F3864"/>
          <w:sz w:val="26"/>
        </w:rPr>
        <w:t>Модуль 7 — Договоры и Мощности (FR-13, FR-14)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Реестр договоров: типы (Транзит / Транспортировка / Рамочный), контрагент, даты, мощность;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Цветовое выделение: истекающие &lt;30 дней — жёлтый, просроченные — красный;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Журнал бронирований мощностей: FIRM/INT, точка, период, статус;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Фильтрация бронирований по точке входа/выхода.</w:t>
      </w:r>
    </w:p>
    <w:p>
      <w:pPr>
        <w:jc w:val="left"/>
        <w:spacing w:before="200" w:after="80"/>
      </w:pPr>
      <w:r>
        <w:rPr>
          <w:rFonts w:ascii="Times New Roman" w:hAnsi="Times New Roman" w:cs="Times New Roman"/>
          <w:b/>
          <w:i w:val="0"/>
          <w:color w:val="1F3864"/>
          <w:sz w:val="26"/>
        </w:rPr>
        <w:t>Модуль 8 — Журнал аудита (FR-15)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Фиксация всех значимых действий: создание/изменение номинаций, Margin Call, биллинг, вход/выход, ERP-синхронизация;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Запись включает: дата/время (CET), имя пользователя, описание действия, код модуля;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Фильтрация по модулю: AUTH / NOM / CREDIT / BILLING / CONTRACTS / SYSTEM;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Журнал хранит до 200 последних записей в рамках сессии.</w:t>
      </w:r>
    </w:p>
    <w:p>
      <w:r>
        <w:br w:type="page"/>
      </w:r>
    </w:p>
    <w:p>
      <w:pPr>
        <w:jc w:val="left"/>
        <w:spacing w:before="240" w:after="120"/>
        <w:pBdr>
          <w:bottom w:val="single" w:sz="8" w:space="1" w:color="1F3864"/>
        </w:pBdr>
      </w:pPr>
      <w:r>
        <w:rPr>
          <w:rFonts w:ascii="Times New Roman" w:hAnsi="Times New Roman" w:cs="Times New Roman"/>
          <w:b/>
          <w:i w:val="0"/>
          <w:color w:val="1F3864"/>
          <w:sz w:val="28"/>
        </w:rPr>
        <w:t>4. ТЕХНИЧЕСКИЕ ХАРАКТЕРИСТИКИ ПОСТАВКИ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685"/>
            <w:tcBorders>
              <w:top w:val="single" w:sz="4" w:color="1F3864"/>
              <w:left w:val="single" w:sz="4" w:color="1F3864"/>
              <w:bottom w:val="single" w:sz="4" w:color="1F3864"/>
              <w:right w:val="single" w:sz="4" w:color="1F3864"/>
            </w:tcBorders>
            <w:shd w:val="clear" w:color="auto" w:fill="1F3864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</w:rPr>
              <w:t>Параметр</w:t>
            </w:r>
          </w:p>
        </w:tc>
        <w:tc>
          <w:tcPr>
            <w:tcW w:type="dxa" w:w="5953"/>
            <w:tcBorders>
              <w:top w:val="single" w:sz="4" w:color="1F3864"/>
              <w:left w:val="single" w:sz="4" w:color="1F3864"/>
              <w:bottom w:val="single" w:sz="4" w:color="1F3864"/>
              <w:right w:val="single" w:sz="4" w:color="1F3864"/>
            </w:tcBorders>
            <w:shd w:val="clear" w:color="auto" w:fill="1F3864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</w:rPr>
              <w:t>Значение</w:t>
            </w:r>
          </w:p>
        </w:tc>
      </w:tr>
      <w:tr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Файл приложения</w:t>
            </w:r>
          </w:p>
        </w:tc>
        <w:tc>
          <w:tcPr>
            <w:tcW w:type="dxa" w:w="59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GTCP_MVP.html</w:t>
            </w:r>
          </w:p>
        </w:tc>
      </w:tr>
      <w:tr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Размер файла</w:t>
            </w:r>
          </w:p>
        </w:tc>
        <w:tc>
          <w:tcPr>
            <w:tcW w:type="dxa" w:w="59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77 КБ (одностраничное SPA-приложение)</w:t>
            </w:r>
          </w:p>
        </w:tc>
      </w:tr>
      <w:tr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Технологии</w:t>
            </w:r>
          </w:p>
        </w:tc>
        <w:tc>
          <w:tcPr>
            <w:tcW w:type="dxa" w:w="59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HTML5, CSS3, Vanilla JavaScript (ES6+)</w:t>
            </w:r>
          </w:p>
        </w:tc>
      </w:tr>
      <w:tr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Внешние зависимости</w:t>
            </w:r>
          </w:p>
        </w:tc>
        <w:tc>
          <w:tcPr>
            <w:tcW w:type="dxa" w:w="59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Google Fonts (IBM Plex Mono / IBM Plex Sans) — только CDN-шрифты</w:t>
            </w:r>
          </w:p>
        </w:tc>
      </w:tr>
      <w:tr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Браузерная совместимость</w:t>
            </w:r>
          </w:p>
        </w:tc>
        <w:tc>
          <w:tcPr>
            <w:tcW w:type="dxa" w:w="59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Chrome 100+, Firefox 100+, Edge 100+</w:t>
            </w:r>
          </w:p>
        </w:tc>
      </w:tr>
      <w:tr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Серверная инфраструктура</w:t>
            </w:r>
          </w:p>
        </w:tc>
        <w:tc>
          <w:tcPr>
            <w:tcW w:type="dxa" w:w="59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Не требуется — запускается из файла</w:t>
            </w:r>
          </w:p>
        </w:tc>
      </w:tr>
      <w:tr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Дизайн-система</w:t>
            </w:r>
          </w:p>
        </w:tc>
        <w:tc>
          <w:tcPr>
            <w:tcW w:type="dxa" w:w="59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Тёмная тема (#0a0e14), цветовое кодирование статусов</w:t>
            </w:r>
          </w:p>
        </w:tc>
      </w:tr>
      <w:tr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Демо-данные</w:t>
            </w:r>
          </w:p>
        </w:tc>
        <w:tc>
          <w:tcPr>
            <w:tcW w:type="dxa" w:w="59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 грузоотправителей, 8 номинаций, 6 счетов, 5 договоров, 7 бронирований</w:t>
            </w:r>
          </w:p>
        </w:tc>
      </w:tr>
      <w:tr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Путь к файлу</w:t>
            </w:r>
          </w:p>
        </w:tc>
        <w:tc>
          <w:tcPr>
            <w:tcW w:type="dxa" w:w="59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C:\Users\leokr\ETRM\Soft\GTCP_MVP.html</w:t>
            </w:r>
          </w:p>
        </w:tc>
      </w:tr>
      <w:tr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Путь к ТЗ</w:t>
            </w:r>
          </w:p>
        </w:tc>
        <w:tc>
          <w:tcPr>
            <w:tcW w:type="dxa" w:w="59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C:\Users\leokr\ETRM\ТЗ_GTCP_MVP_v1.0.docx</w:t>
            </w:r>
          </w:p>
        </w:tc>
      </w:tr>
    </w:tbl>
    <w:p/>
    <w:p>
      <w:pPr>
        <w:jc w:val="left"/>
        <w:spacing w:before="200" w:after="80"/>
      </w:pPr>
      <w:r>
        <w:rPr>
          <w:rFonts w:ascii="Times New Roman" w:hAnsi="Times New Roman" w:cs="Times New Roman"/>
          <w:b/>
          <w:i w:val="0"/>
          <w:color w:val="1F3864"/>
          <w:sz w:val="26"/>
        </w:rPr>
        <w:t>Состав поставленных документов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551"/>
            <w:tcBorders>
              <w:top w:val="single" w:sz="4" w:color="1F3864"/>
              <w:left w:val="single" w:sz="4" w:color="1F3864"/>
              <w:bottom w:val="single" w:sz="4" w:color="1F3864"/>
              <w:right w:val="single" w:sz="4" w:color="1F3864"/>
            </w:tcBorders>
            <w:shd w:val="clear" w:color="auto" w:fill="1F3864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</w:rPr>
              <w:t>Документ</w:t>
            </w:r>
          </w:p>
        </w:tc>
        <w:tc>
          <w:tcPr>
            <w:tcW w:type="dxa" w:w="1417"/>
            <w:tcBorders>
              <w:top w:val="single" w:sz="4" w:color="1F3864"/>
              <w:left w:val="single" w:sz="4" w:color="1F3864"/>
              <w:bottom w:val="single" w:sz="4" w:color="1F3864"/>
              <w:right w:val="single" w:sz="4" w:color="1F3864"/>
            </w:tcBorders>
            <w:shd w:val="clear" w:color="auto" w:fill="1F3864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</w:rPr>
              <w:t>Формат</w:t>
            </w:r>
          </w:p>
        </w:tc>
        <w:tc>
          <w:tcPr>
            <w:tcW w:type="dxa" w:w="3969"/>
            <w:tcBorders>
              <w:top w:val="single" w:sz="4" w:color="1F3864"/>
              <w:left w:val="single" w:sz="4" w:color="1F3864"/>
              <w:bottom w:val="single" w:sz="4" w:color="1F3864"/>
              <w:right w:val="single" w:sz="4" w:color="1F3864"/>
            </w:tcBorders>
            <w:shd w:val="clear" w:color="auto" w:fill="1F3864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</w:rPr>
              <w:t>Путь</w:t>
            </w:r>
          </w:p>
        </w:tc>
        <w:tc>
          <w:tcPr>
            <w:tcW w:type="dxa" w:w="1701"/>
            <w:tcBorders>
              <w:top w:val="single" w:sz="4" w:color="1F3864"/>
              <w:left w:val="single" w:sz="4" w:color="1F3864"/>
              <w:bottom w:val="single" w:sz="4" w:color="1F3864"/>
              <w:right w:val="single" w:sz="4" w:color="1F3864"/>
            </w:tcBorders>
            <w:shd w:val="clear" w:color="auto" w:fill="1F3864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</w:rPr>
              <w:t>Статус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Техническое задание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.docx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ETRM\ТЗ_GTCP_MVP_v1.0.docx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✓ Готово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MVP веб-приложение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.html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ETRM\Soft\GTCP_MVP.html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✓ Готово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Отчёт о ходе разработки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.docx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ETRM\reports\Отчёт_MVP_разработка.docx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✓ Данный документ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Презентация для защиты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.pptx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ETRM\GTCP_Diploma_Presentation.pptx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✓ Готово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Дипломная работа (текст)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.docx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ETRM\GTCP_Diploma_Text.docx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✓ Готово</w:t>
            </w:r>
          </w:p>
        </w:tc>
      </w:tr>
    </w:tbl>
    <w:p/>
    <w:p>
      <w:r>
        <w:br w:type="page"/>
      </w:r>
    </w:p>
    <w:p>
      <w:pPr>
        <w:jc w:val="left"/>
        <w:spacing w:before="240" w:after="120"/>
        <w:pBdr>
          <w:bottom w:val="single" w:sz="8" w:space="1" w:color="1F3864"/>
        </w:pBdr>
      </w:pPr>
      <w:r>
        <w:rPr>
          <w:rFonts w:ascii="Times New Roman" w:hAnsi="Times New Roman" w:cs="Times New Roman"/>
          <w:b/>
          <w:i w:val="0"/>
          <w:color w:val="1F3864"/>
          <w:sz w:val="28"/>
        </w:rPr>
        <w:t>5. РЕЗУЛЬТАТЫ ТЕСТИРОВАНИЯ</w:t>
      </w:r>
    </w:p>
    <w:p>
      <w:pPr>
        <w:jc w:val="both"/>
        <w:spacing w:before="40" w:after="4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Приёмочное тестирование проводилось по сценариям, определённым в разделе 6.2 ТЗ. Все 6 приёмочных тест-сценариев успешно пройдены.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850"/>
            <w:tcBorders>
              <w:top w:val="single" w:sz="4" w:color="1F3864"/>
              <w:left w:val="single" w:sz="4" w:color="1F3864"/>
              <w:bottom w:val="single" w:sz="4" w:color="1F3864"/>
              <w:right w:val="single" w:sz="4" w:color="1F3864"/>
            </w:tcBorders>
            <w:shd w:val="clear" w:color="auto" w:fill="1F3864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</w:rPr>
              <w:t>ID</w:t>
            </w:r>
          </w:p>
        </w:tc>
        <w:tc>
          <w:tcPr>
            <w:tcW w:type="dxa" w:w="3118"/>
            <w:tcBorders>
              <w:top w:val="single" w:sz="4" w:color="1F3864"/>
              <w:left w:val="single" w:sz="4" w:color="1F3864"/>
              <w:bottom w:val="single" w:sz="4" w:color="1F3864"/>
              <w:right w:val="single" w:sz="4" w:color="1F3864"/>
            </w:tcBorders>
            <w:shd w:val="clear" w:color="auto" w:fill="1F3864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</w:rPr>
              <w:t>Сценарий</w:t>
            </w:r>
          </w:p>
        </w:tc>
        <w:tc>
          <w:tcPr>
            <w:tcW w:type="dxa" w:w="3969"/>
            <w:tcBorders>
              <w:top w:val="single" w:sz="4" w:color="1F3864"/>
              <w:left w:val="single" w:sz="4" w:color="1F3864"/>
              <w:bottom w:val="single" w:sz="4" w:color="1F3864"/>
              <w:right w:val="single" w:sz="4" w:color="1F3864"/>
            </w:tcBorders>
            <w:shd w:val="clear" w:color="auto" w:fill="1F3864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</w:rPr>
              <w:t>Результат</w:t>
            </w:r>
          </w:p>
        </w:tc>
        <w:tc>
          <w:tcPr>
            <w:tcW w:type="dxa" w:w="1701"/>
            <w:tcBorders>
              <w:top w:val="single" w:sz="4" w:color="1F3864"/>
              <w:left w:val="single" w:sz="4" w:color="1F3864"/>
              <w:bottom w:val="single" w:sz="4" w:color="1F3864"/>
              <w:right w:val="single" w:sz="4" w:color="1F3864"/>
            </w:tcBorders>
            <w:shd w:val="clear" w:color="auto" w:fill="1F3864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</w:rPr>
              <w:t>Статус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TS-01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Создание и подтверждение номинации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Номинация создана PENDING → CONFIRMED после матчинга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✓ ПРОЙДЕН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TS-02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Блокировка при превышении лимита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Форма номинации показывает ошибку «Лимит исчерпан»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✓ ПРОЙДЕН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TS-03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Оформление Margin Call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Уведомление создано, зафиксировано в истории MCL и аудите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✓ ПРОЙДЕН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TS-04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Создание и смена статуса счёта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ВЫСТАВЛЕН → ОЖИДАЕТ → ОПЛАЧЕН — все переходы работают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✓ ПРОЙДЕН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TS-05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Реноминация выше 110%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Система выдаёт предупреждение, кнопка «Отправить на одобрение»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✓ ПРОЙДЕН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TS-06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Доступ по ролям (RBAC)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Роль «Биллинг» не видит модуль «Кредит» в навигации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✓ ПРОЙДЕН</w:t>
            </w:r>
          </w:p>
        </w:tc>
      </w:tr>
    </w:tbl>
    <w:p/>
    <w:p>
      <w:pPr>
        <w:jc w:val="both"/>
        <w:spacing w:before="40" w:after="4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Дополнительно проверено: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Журнал аудита корректно фиксирует все 15 типов событий;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Автоматический матчинг ENTRY/EXIT корректно сопоставляет пары номинаций;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Баланс мощностей корректно пересчитывается после изменения статусов номинаций;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ERP-синхронизация завершается через ~2 секунды с фиксацией в журнале аудита;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Часы в топбаре отображают актуальное время CET (UTC+1).</w:t>
      </w:r>
    </w:p>
    <w:p>
      <w:r>
        <w:br w:type="page"/>
      </w:r>
    </w:p>
    <w:p>
      <w:pPr>
        <w:jc w:val="left"/>
        <w:spacing w:before="240" w:after="120"/>
        <w:pBdr>
          <w:bottom w:val="single" w:sz="8" w:space="1" w:color="1F3864"/>
        </w:pBdr>
      </w:pPr>
      <w:r>
        <w:rPr>
          <w:rFonts w:ascii="Times New Roman" w:hAnsi="Times New Roman" w:cs="Times New Roman"/>
          <w:b/>
          <w:i w:val="0"/>
          <w:color w:val="1F3864"/>
          <w:sz w:val="28"/>
        </w:rPr>
        <w:t>6. ИЗВЕСТНЫЕ ОГРАНИЧЕНИЯ MVP И СЛЕДУЮЩИЕ ШАГИ</w:t>
      </w:r>
    </w:p>
    <w:p>
      <w:pPr>
        <w:jc w:val="left"/>
        <w:spacing w:before="200" w:after="80"/>
      </w:pPr>
      <w:r>
        <w:rPr>
          <w:rFonts w:ascii="Times New Roman" w:hAnsi="Times New Roman" w:cs="Times New Roman"/>
          <w:b/>
          <w:i w:val="0"/>
          <w:color w:val="1F3864"/>
          <w:sz w:val="26"/>
        </w:rPr>
        <w:t>6.1. Ограничения версии MVP v1.0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Данные хранятся в памяти браузера (in-memory) — при перезагрузке страницы сбрасываются; в production-версии необходима база данных PostgreSQL;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Отсутствует backend API — все операции выполняются на стороне клиента; для продуктива требуется Node.js/Express backend;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Аутентификация демонстрационная (hardcoded пароли) — в production необходим JWT + bcrypt;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Реальная интеграция с 1С ERP не реализована — только симуляция вызова;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Нет WebSocket-соединения для реальных real-time обновлений от внешних систем.</w:t>
      </w:r>
    </w:p>
    <w:p>
      <w:pPr>
        <w:jc w:val="left"/>
        <w:spacing w:before="200" w:after="80"/>
      </w:pPr>
      <w:r>
        <w:rPr>
          <w:rFonts w:ascii="Times New Roman" w:hAnsi="Times New Roman" w:cs="Times New Roman"/>
          <w:b/>
          <w:i w:val="0"/>
          <w:color w:val="1F3864"/>
          <w:sz w:val="26"/>
        </w:rPr>
        <w:t>6.2. Roadmap: следующие шаги к production-версии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134"/>
            <w:tcBorders>
              <w:top w:val="single" w:sz="4" w:color="1F3864"/>
              <w:left w:val="single" w:sz="4" w:color="1F3864"/>
              <w:bottom w:val="single" w:sz="4" w:color="1F3864"/>
              <w:right w:val="single" w:sz="4" w:color="1F3864"/>
            </w:tcBorders>
            <w:shd w:val="clear" w:color="auto" w:fill="1F3864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</w:rPr>
              <w:t>Приоритет</w:t>
            </w:r>
          </w:p>
        </w:tc>
        <w:tc>
          <w:tcPr>
            <w:tcW w:type="dxa" w:w="3685"/>
            <w:tcBorders>
              <w:top w:val="single" w:sz="4" w:color="1F3864"/>
              <w:left w:val="single" w:sz="4" w:color="1F3864"/>
              <w:bottom w:val="single" w:sz="4" w:color="1F3864"/>
              <w:right w:val="single" w:sz="4" w:color="1F3864"/>
            </w:tcBorders>
            <w:shd w:val="clear" w:color="auto" w:fill="1F3864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</w:rPr>
              <w:t>Задача</w:t>
            </w:r>
          </w:p>
        </w:tc>
        <w:tc>
          <w:tcPr>
            <w:tcW w:type="dxa" w:w="1417"/>
            <w:tcBorders>
              <w:top w:val="single" w:sz="4" w:color="1F3864"/>
              <w:left w:val="single" w:sz="4" w:color="1F3864"/>
              <w:bottom w:val="single" w:sz="4" w:color="1F3864"/>
              <w:right w:val="single" w:sz="4" w:color="1F3864"/>
            </w:tcBorders>
            <w:shd w:val="clear" w:color="auto" w:fill="1F3864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</w:rPr>
              <w:t>Sprint</w:t>
            </w:r>
          </w:p>
        </w:tc>
        <w:tc>
          <w:tcPr>
            <w:tcW w:type="dxa" w:w="1134"/>
            <w:tcBorders>
              <w:top w:val="single" w:sz="4" w:color="1F3864"/>
              <w:left w:val="single" w:sz="4" w:color="1F3864"/>
              <w:bottom w:val="single" w:sz="4" w:color="1F3864"/>
              <w:right w:val="single" w:sz="4" w:color="1F3864"/>
            </w:tcBorders>
            <w:shd w:val="clear" w:color="auto" w:fill="1F3864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</w:rPr>
              <w:t>Оценка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P0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PostgreSQL схема БД + Node.js API сервер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Sprint 4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 нед.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P0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JWT аутентификация + bcrypt паролей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Sprint 4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 нед.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P1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WebSocket для real-time обновлений Dashboard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Sprint 5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 нед.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P1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REST API интеграция с 1С ERP (биллинг)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Sprint 5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 нед.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P2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Docker Compose + CI/CD деплой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Sprint 5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 нед.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P2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Расширенная аналитика и экспорт в Excel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Sprint 6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 нед.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P3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Мобильная адаптация (планшет)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Sprint 6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 нед.</w:t>
            </w:r>
          </w:p>
        </w:tc>
      </w:tr>
    </w:tbl>
    <w:p/>
    <w:p>
      <w:r>
        <w:br w:type="page"/>
      </w:r>
    </w:p>
    <w:p>
      <w:pPr>
        <w:jc w:val="left"/>
        <w:spacing w:before="240" w:after="120"/>
        <w:pBdr>
          <w:bottom w:val="single" w:sz="8" w:space="1" w:color="1F3864"/>
        </w:pBdr>
      </w:pPr>
      <w:r>
        <w:rPr>
          <w:rFonts w:ascii="Times New Roman" w:hAnsi="Times New Roman" w:cs="Times New Roman"/>
          <w:b/>
          <w:i w:val="0"/>
          <w:color w:val="1F3864"/>
          <w:sz w:val="28"/>
        </w:rPr>
        <w:t>7. ЗАКЛЮЧЕНИЕ</w:t>
      </w:r>
    </w:p>
    <w:p>
      <w:pPr>
        <w:ind w:firstLine="709"/>
        <w:jc w:val="both"/>
        <w:spacing w:before="40" w:after="4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В рамках дипломного проекта по программе «Управление проектами» (PMNz-74) успешно разработан MVP веб-приложения GTCP — Gas Trading &amp; Commercial Platform.</w:t>
      </w:r>
    </w:p>
    <w:p>
      <w:pPr>
        <w:ind w:firstLine="709"/>
        <w:jc w:val="both"/>
        <w:spacing w:before="40" w:after="4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Все 15 функциональных требований, определённых в Техническом задании GTCP-ТЗ-MVP-2026 v1.0, реализованы в полном объёме. Приложение охватывает 8 функциональных модулей, включает демонстрационные данные, работает без установки серверной инфраструктуры и готово к демонстрации на защите.</w:t>
      </w:r>
    </w:p>
    <w:p>
      <w:pPr>
        <w:ind w:firstLine="709"/>
        <w:jc w:val="both"/>
        <w:spacing w:before="40" w:after="4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MVP подтверждает техническую осуществимость платформы и служит основой для последующей разработки production-версии с полноценным backend API, базой данных и ERP-интеграцией.</w:t>
      </w:r>
    </w:p>
    <w:p/>
    <w:p/>
    <w:p/>
    <w:p>
      <w:pPr>
        <w:jc w:val="left"/>
        <w:spacing w:before="0" w:after="80"/>
      </w:pPr>
      <w:r>
        <w:rPr>
          <w:rFonts w:ascii="Times New Roman" w:hAnsi="Times New Roman" w:cs="Times New Roman"/>
          <w:b w:val="0"/>
          <w:i w:val="0"/>
          <w:sz w:val="24"/>
        </w:rPr>
        <w:t>Составитель: Кравчук Л.А.</w:t>
      </w:r>
    </w:p>
    <w:p>
      <w:pPr>
        <w:jc w:val="left"/>
        <w:spacing w:before="0" w:after="80"/>
      </w:pPr>
      <w:r>
        <w:rPr>
          <w:rFonts w:ascii="Times New Roman" w:hAnsi="Times New Roman" w:cs="Times New Roman"/>
          <w:b w:val="0"/>
          <w:i w:val="0"/>
          <w:sz w:val="24"/>
        </w:rPr>
        <w:t>Дата: 23.03.2026</w:t>
      </w:r>
    </w:p>
    <w:p>
      <w:pPr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Подпись: ___________________</w:t>
      </w:r>
    </w:p>
    <w:sectPr w:rsidR="00FC693F" w:rsidRPr="0006063C" w:rsidSect="00034616">
      <w:pgSz w:w="12240" w:h="15840"/>
      <w:pgMar w:top="1417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