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36"/>
        </w:rPr>
        <w:t>GTCP — Gas Trading &amp; Commercial Platform</w:t>
      </w:r>
    </w:p>
    <w:p>
      <w:pPr>
        <w:jc w:val="center"/>
      </w:pPr>
      <w:r>
        <w:rPr>
          <w:color w:val="2E74B5"/>
          <w:sz w:val="26"/>
        </w:rPr>
        <w:t>Отчёт о выполнении Спринта 4</w:t>
        <w:br/>
        <w:t>BACKEND: Node.js REST API + PostgreSQL + Frontend Integration</w:t>
      </w:r>
    </w:p>
    <w:p/>
    <w:p>
      <w:pPr>
        <w:jc w:val="center"/>
      </w:pPr>
      <w:r>
        <w:rPr>
          <w:sz w:val="22"/>
        </w:rPr>
        <w:t>Студент: Кравчук Л.А.</w:t>
        <w:br/>
        <w:t>Программа: Управление проектами (PMNz-74)</w:t>
        <w:br/>
        <w:t>Дата: 24 марта 2026 г.</w:t>
        <w:br/>
        <w:t>Версия отчёта: v2.0 — FINAL (Статус: ✅ SPRINT COMPLETE)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Резюме спринта (Executive Summary)</w:t>
      </w:r>
    </w:p>
    <w:p>
      <w:pPr>
        <w:spacing w:after="80"/>
      </w:pPr>
      <w:r>
        <w:rPr>
          <w:b w:val="0"/>
          <w:sz w:val="20"/>
        </w:rPr>
        <w:t>Спринт 4 завершён полностью. В ходе спринта был реализован production-ready backend для GTCP (Gas Trading &amp; Commercial Platform) — REST API на Node.js 20 LTS + Express 4 с PostgreSQL 15/17, полной системой аутентификации JWT + Argon2id, ролевым управлением доступом (RBAC, 5 ролей) и интеграцией с фронтендом GTCP_MVP.html.</w:t>
      </w:r>
    </w:p>
    <w:p>
      <w:pPr>
        <w:spacing w:after="80"/>
      </w:pPr>
      <w:r>
        <w:rPr>
          <w:b w:val="0"/>
          <w:sz w:val="20"/>
        </w:rPr>
        <w:t>После завершения разработки были устранены четыре производственных инцидента: ошибка кодировки PowerShell-скриптов, отсутствие Docker-fallback, несовместимость с PostgreSQL 15 (отозванные привилегии схемы) и блокировка CORS для file:// источника. Все инциденты задокументированы и закрыты. Система запущена и верифицирована.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color w:val="FFFFFF"/>
                <w:sz w:val="18"/>
              </w:rPr>
              <w:t>Значение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color w:val="FFFFFF"/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sz w:val="18"/>
              </w:rPr>
              <w:t>Статус спринта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ЗАВЕРШЁН ✅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b w:val="0"/>
                <w:sz w:val="18"/>
              </w:rPr>
              <w:t>Длительность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5 рабочих дней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sz w:val="18"/>
              </w:rPr>
              <w:t>Серверный стек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Node.js 20 LTS + Express 4.x + PostgreSQL 17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b w:val="0"/>
                <w:sz w:val="18"/>
              </w:rPr>
              <w:t>API-маршрутов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9 модулей / 40+ эндпоинтов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sz w:val="18"/>
              </w:rPr>
              <w:t>Таблиц БД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 таблиц + миграции + сид-данные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b w:val="0"/>
                <w:sz w:val="18"/>
              </w:rPr>
              <w:t>Тест здоровья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GET /api/v1/health → 200 OK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sz w:val="18"/>
              </w:rPr>
              <w:t>Тест логина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 /api/v1/auth/login → 200 + JWT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b w:val="0"/>
                <w:sz w:val="18"/>
              </w:rPr>
              <w:t>Фронтенд режим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GTCP_MVP.html работает в API-режиме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2. Архитектура системы</w:t>
      </w:r>
    </w:p>
    <w:p>
      <w:pPr>
        <w:pStyle w:val="Heading2"/>
      </w:pPr>
      <w:r>
        <w:rPr>
          <w:color w:val="2E74B5"/>
        </w:rPr>
        <w:t>2.1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Технология / Версия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Node.js 20 LTS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Серверная платформа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 Framework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Express 4.x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HTTP-маршрутизация, middleware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PostgreSQL 17 (порт 8888)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Реляционное хранилище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ORM / Driver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node-postgres (pg)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Пул соединений, транзакции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JWT HS256 + Argon2id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Токены доступа + хэширование паролей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helmet + cors + express-rate-limit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Заголовки безопасности, CORS, лимиты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winston + morgan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Структурированные логи + HTTP-лог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express-validator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Валидация входящих данных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Frontend Bridge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api.js (Vanilla JS IIFE)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REST-клиент для GTCP_MVP.html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Setup Scripts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setup_local.ps1 / setup.bat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Автоматизация развёртывания</w:t>
            </w:r>
          </w:p>
        </w:tc>
      </w:tr>
    </w:tbl>
    <w:p/>
    <w:p>
      <w:pPr>
        <w:pStyle w:val="Heading2"/>
      </w:pPr>
      <w:r>
        <w:rPr>
          <w:color w:val="2E74B5"/>
        </w:rPr>
        <w:t>2.2 Структура проекта</w:t>
      </w:r>
    </w:p>
    <w:p>
      <w:pPr>
        <w:spacing w:after="80"/>
      </w:pPr>
      <w:r>
        <w:rPr>
          <w:b w:val="0"/>
          <w:sz w:val="20"/>
        </w:rPr>
        <w:t>Монорепозиторий ETRM/ со следующей структурой backend/: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>backend/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src/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app.js              — точка входа Express, middleware, маршруты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db/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index.js          — pg Pool, query(), withTransaction()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migrations/       — 001_initial.sql (8 таблиц, триггеры)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seeds/            — seed.sql + seed.js (Argon2id хэши)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middleware/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authenticate.js   — Bearer JWT → req.user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authorize.js      — RBAC, 20+ прав, карта PERMISSIONS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errorHandler.js   — notFound + errorHandler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routes/             — 9 модулей: auth, shippers, nominations,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                    credits, billing, contracts, capacity,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                    balance, audit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services/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auditService.js   — addAudit(), queryAudit()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utils/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tokens.js         — signAccessToken(), signRefreshToken()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  logger.js         — winston logger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frontend/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  api.js              — window.API IIFE, 9 пространств имён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package.json, .env, docker-compose.yml, Dockerfile</w:t>
      </w:r>
    </w:p>
    <w:p>
      <w:pPr>
        <w:spacing w:after="20"/>
        <w:ind w:left="283"/>
      </w:pPr>
      <w:r>
        <w:rPr>
          <w:rFonts w:ascii="Courier New" w:hAnsi="Courier New"/>
          <w:sz w:val="16"/>
        </w:rPr>
        <w:t xml:space="preserve">  setup.ps1, setup_local.ps1, setup.bat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Схема базы данных</w:t>
      </w:r>
    </w:p>
    <w:p>
      <w:pPr>
        <w:pStyle w:val="Heading2"/>
      </w:pPr>
      <w:r>
        <w:rPr>
          <w:color w:val="2E74B5"/>
        </w:rPr>
        <w:t>3.1 Таблицы (001_initial.sql)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37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Ключевые поля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id UUID, username, role, password_hash, is_active, last_login_at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Пользователи системы (5 ролей)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shippers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 UUID, name, eic_code, credit_limit_eur, status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Грузоотправители (торговые контрагенты)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nominations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id UUID, shipper_id, gas_day, direction, volume_kwh, status, match…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Номинации ENTRY/EXIT, матчинг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invoices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 UUID, invoice_no INV-YYYY-NNNN, shipper_id, amount_eur, status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Счета-фактуры, генерация номера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id UUID, shipper_id, capacity_kwh, tariff_eur_per_mwh, valid dates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Договоры транзита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capacity_bookings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 UUID, shipper_id, direction, capacity_kwh, booked_at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Бронирование мощностей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margin_calls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id UUID, shipper_id, amount_eur, status, due_date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Маржин-коллы (кредитный риск)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 UUID, user_id, action, entity, entity_id, ip INET, payload JSONB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Аудит всех действий</w:t>
            </w:r>
          </w:p>
        </w:tc>
      </w:tr>
    </w:tbl>
    <w:p/>
    <w:p>
      <w:pPr>
        <w:pStyle w:val="Heading2"/>
      </w:pPr>
      <w:r>
        <w:rPr>
          <w:color w:val="2E74B5"/>
        </w:rPr>
        <w:t>3.2 Особенности реализации</w:t>
      </w:r>
    </w:p>
    <w:p>
      <w:pPr>
        <w:pStyle w:val="ListBullet"/>
        <w:spacing w:after="40"/>
        <w:ind w:left="283"/>
      </w:pPr>
      <w:r>
        <w:rPr>
          <w:sz w:val="20"/>
        </w:rPr>
        <w:t>Расширение uuid-ossp: PRIMARY KEY DEFAULT gen_random_uuid() для всех таблиц</w:t>
      </w:r>
    </w:p>
    <w:p>
      <w:pPr>
        <w:pStyle w:val="ListBullet"/>
        <w:spacing w:after="40"/>
        <w:ind w:left="283"/>
      </w:pPr>
      <w:r>
        <w:rPr>
          <w:sz w:val="20"/>
        </w:rPr>
        <w:t>GENERATED ALWAYS AS STORED: поле excess_eur в margin_calls вычисляется автоматически</w:t>
      </w:r>
    </w:p>
    <w:p>
      <w:pPr>
        <w:pStyle w:val="ListBullet"/>
        <w:spacing w:after="40"/>
        <w:ind w:left="283"/>
      </w:pPr>
      <w:r>
        <w:rPr>
          <w:sz w:val="20"/>
        </w:rPr>
        <w:t>Триггер set_updated_at(): автоматически обновляет updated_at на 7 таблицах</w:t>
      </w:r>
    </w:p>
    <w:p>
      <w:pPr>
        <w:pStyle w:val="ListBullet"/>
        <w:spacing w:after="40"/>
        <w:ind w:left="283"/>
      </w:pPr>
      <w:r>
        <w:rPr>
          <w:sz w:val="20"/>
        </w:rPr>
        <w:t>JSONB-поля: audit_log.payload для произвольных метаданных</w:t>
      </w:r>
    </w:p>
    <w:p>
      <w:pPr>
        <w:pStyle w:val="ListBullet"/>
        <w:spacing w:after="40"/>
        <w:ind w:left="283"/>
      </w:pPr>
      <w:r>
        <w:rPr>
          <w:sz w:val="20"/>
        </w:rPr>
        <w:t>INET-тип: хранение IP-адресов в audit_log</w:t>
      </w:r>
    </w:p>
    <w:p>
      <w:pPr>
        <w:pStyle w:val="ListBullet"/>
        <w:spacing w:after="40"/>
        <w:ind w:left="283"/>
      </w:pPr>
      <w:r>
        <w:rPr>
          <w:sz w:val="20"/>
        </w:rPr>
        <w:t>Явные GRANT для PostgreSQL 15+: GRANT ALL ON SCHEMA public (breaking change PG15)</w:t>
      </w:r>
    </w:p>
    <w:p/>
    <w:p>
      <w:pPr>
        <w:pStyle w:val="Heading1"/>
      </w:pPr>
      <w:r>
        <w:rPr>
          <w:color w:val="1F497D"/>
        </w:rPr>
        <w:t>4. REST API — маршруты</w:t>
      </w:r>
    </w:p>
    <w:p>
      <w:pPr>
        <w:pStyle w:val="Heading2"/>
      </w:pPr>
      <w:r>
        <w:rPr>
          <w:color w:val="2E74B5"/>
        </w:rPr>
        <w:t>4.1 Аутентификация (/api/v1/auth)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532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Argon2id-верификация → access + refresh токены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/refresh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Обновление пары токенов по refresh-токену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/logout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Аудит-запись, инвалидация сессии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Bearer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/me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Профиль текущего пользователя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Bearer</w:t>
            </w:r>
          </w:p>
        </w:tc>
      </w:tr>
    </w:tbl>
    <w:p/>
    <w:p>
      <w:pPr>
        <w:pStyle w:val="Heading2"/>
      </w:pPr>
      <w:r>
        <w:rPr>
          <w:color w:val="2E74B5"/>
        </w:rPr>
        <w:t>4.2 Бизнес-модули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52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Ключевые эндпоинты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Роли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shippers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CRUD + статус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admin, contracts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nominations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CRUD + POST /match (ENTRY↔EXIT) + POST /:id/renom (±10% CAM)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dispatcher,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GET / (utilization%) + GET /margin-calls + POST /:id/margin-call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CRUD + автогенерация INV-YYYY-NNNN + PATCH /status + POST /erp-sync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CRUD договоров транзита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CRUD бронирований мощностей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dispatcher, 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GET баланса по газовому дню (06:00-06:00 CET)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все роли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GET с пагинацией, фильтрами action/entity/user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shippers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CRUD грузоотправителей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admin, contracts</w:t>
            </w:r>
          </w:p>
        </w:tc>
      </w:tr>
    </w:tbl>
    <w:p/>
    <w:p>
      <w:pPr>
        <w:pStyle w:val="Heading2"/>
      </w:pPr>
      <w:r>
        <w:rPr>
          <w:color w:val="2E74B5"/>
        </w:rPr>
        <w:t>4.3 RBAC — ролевые права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6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Права (разрешения)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Все права (bypass)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Полный доступ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dispatcher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nominations:read/write, capacity:read/write, balance:read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Оперативный диспетчер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credits:read/write, shippers:read, margin_calls:manage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Кредитный менеджер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billing:read/write, invoices:manage, erp:sync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Биллинг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contracts:read/write, shippers:read/write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Договорной отдел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5. Интеграция фронтенда (api.js)</w:t>
      </w:r>
    </w:p>
    <w:p>
      <w:pPr>
        <w:pStyle w:val="Heading2"/>
      </w:pPr>
      <w:r>
        <w:rPr>
          <w:color w:val="2E74B5"/>
        </w:rPr>
        <w:t>5.1 Архитектура api.js</w:t>
      </w:r>
    </w:p>
    <w:p>
      <w:pPr>
        <w:spacing w:after="80"/>
      </w:pPr>
      <w:r>
        <w:rPr>
          <w:b w:val="0"/>
          <w:sz w:val="20"/>
        </w:rPr>
        <w:t>Модуль api.js реализован как IIFE (Immediately Invoked Function Expression), экспортируется в window.API. Обеспечивает прозрачную работу JWT-авторизации для всех HTTP-запросов из GTCP_MVP.html.</w:t>
      </w:r>
    </w:p>
    <w:p>
      <w:pPr>
        <w:pStyle w:val="ListBullet"/>
        <w:spacing w:after="40"/>
        <w:ind w:left="283"/>
      </w:pPr>
      <w:r>
        <w:rPr>
          <w:sz w:val="20"/>
        </w:rPr>
        <w:t>sessionStorage: хранение accessToken и refreshToken</w:t>
      </w:r>
    </w:p>
    <w:p>
      <w:pPr>
        <w:pStyle w:val="ListBullet"/>
        <w:spacing w:after="40"/>
        <w:ind w:left="283"/>
      </w:pPr>
      <w:r>
        <w:rPr>
          <w:sz w:val="20"/>
        </w:rPr>
        <w:t>Автоматический Bearer-заголовок: добавляется ко всем запросам</w:t>
      </w:r>
    </w:p>
    <w:p>
      <w:pPr>
        <w:pStyle w:val="ListBullet"/>
        <w:spacing w:after="40"/>
        <w:ind w:left="283"/>
      </w:pPr>
      <w:r>
        <w:rPr>
          <w:sz w:val="20"/>
        </w:rPr>
        <w:t>401-перехватчик: автоматический refresh → повтор запроса</w:t>
      </w:r>
    </w:p>
    <w:p>
      <w:pPr>
        <w:pStyle w:val="ListBullet"/>
        <w:spacing w:after="40"/>
        <w:ind w:left="283"/>
      </w:pPr>
      <w:r>
        <w:rPr>
          <w:sz w:val="20"/>
        </w:rPr>
        <w:t>CustomEvent gtcp:sessionExpired: уведомление UI об истечении сессии</w:t>
      </w:r>
    </w:p>
    <w:p>
      <w:pPr>
        <w:pStyle w:val="ListBullet"/>
        <w:spacing w:after="40"/>
        <w:ind w:left="283"/>
      </w:pPr>
      <w:r>
        <w:rPr>
          <w:sz w:val="20"/>
        </w:rPr>
        <w:t>9 пространств имён: API.auth, API.shippers, API.nominations, API.credits, API.billing, API.contracts, API.capacity, API.balance, API.audit</w:t>
      </w:r>
    </w:p>
    <w:p/>
    <w:p>
      <w:pPr>
        <w:pStyle w:val="Heading2"/>
      </w:pPr>
      <w:r>
        <w:rPr>
          <w:color w:val="2E74B5"/>
        </w:rPr>
        <w:t>5.2 Dual-mode SPA (Demo / API)</w:t>
      </w:r>
    </w:p>
    <w:p>
      <w:pPr>
        <w:spacing w:after="80"/>
      </w:pPr>
      <w:r>
        <w:rPr>
          <w:b w:val="0"/>
          <w:sz w:val="20"/>
        </w:rPr>
        <w:t>GTCP_MVP.html поддерживает два режима работы через флаг STATE.backendMode:</w:t>
      </w:r>
    </w:p>
    <w:p>
      <w:pPr>
        <w:pStyle w:val="ListBullet"/>
        <w:spacing w:after="40"/>
        <w:ind w:left="283"/>
      </w:pPr>
      <w:r>
        <w:rPr>
          <w:sz w:val="20"/>
        </w:rPr>
        <w:t>Demo-режим: in-memory данные, логин без сервера (для демонстрации без backend)</w:t>
      </w:r>
    </w:p>
    <w:p>
      <w:pPr>
        <w:pStyle w:val="ListBullet"/>
        <w:spacing w:after="40"/>
        <w:ind w:left="283"/>
      </w:pPr>
      <w:r>
        <w:rPr>
          <w:sz w:val="20"/>
        </w:rPr>
        <w:t>API-режим: реальный backend, все данные из PostgreSQL через REST API</w:t>
      </w:r>
    </w:p>
    <w:p>
      <w:pPr>
        <w:pStyle w:val="ListBullet"/>
        <w:spacing w:after="40"/>
        <w:ind w:left="283"/>
      </w:pPr>
      <w:r>
        <w:rPr>
          <w:sz w:val="20"/>
        </w:rPr>
        <w:t>Автоопределение: если API.auth.login() завершился успешно → API-режим; при сетевой ошибке → fallback на demo</w:t>
      </w:r>
    </w:p>
    <w:p>
      <w:pPr>
        <w:pStyle w:val="ListBullet"/>
        <w:spacing w:after="40"/>
        <w:ind w:left="283"/>
      </w:pPr>
      <w:r>
        <w:rPr>
          <w:sz w:val="20"/>
        </w:rPr>
        <w:t>Async doLogin(): пробует API → при ошибке переключается на демо-режим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Инциденты и исправления</w:t>
      </w:r>
    </w:p>
    <w:p>
      <w:pPr>
        <w:pStyle w:val="Heading2"/>
      </w:pPr>
      <w:r>
        <w:rPr>
          <w:color w:val="2E74B5"/>
        </w:rPr>
        <w:t>6.1 Инцидент #1 — Ошибка кодировки PowerShell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ParseException: missing closing brace, unexpected token в setup.ps1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Причина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Файл сохранён UTF-8 без BOM; PowerShell на Windows читает как ANSI (CP1251); кириллица в строках ломает синтаксический анализатор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Переписаны все .ps1 и .bat скрипты как чистый ASCII (0 байт &gt; 127). Верификация: python3 -c "sum(1 for b in open(f,rb).read() if b&gt;127)==0"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Закрыт</w:t>
            </w:r>
          </w:p>
        </w:tc>
      </w:tr>
    </w:tbl>
    <w:p/>
    <w:p>
      <w:pPr>
        <w:pStyle w:val="Heading2"/>
      </w:pPr>
      <w:r>
        <w:rPr>
          <w:color w:val="2E74B5"/>
        </w:rPr>
        <w:t>6.2 Инцидент #2 — Docker не установлен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setup.ps1 падает с ошибкой при отсутствии Docker Desktop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Причина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Жёсткая зависимость от docker compose без fallback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Добавлен блок обнаружения Docker: вариант A (установить Docker), вариант B (запустить setup_local.ps1). Создан setup_local.ps1 для полной работы без Docker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Закрыт</w:t>
            </w:r>
          </w:p>
        </w:tc>
      </w:tr>
    </w:tbl>
    <w:p/>
    <w:p>
      <w:pPr>
        <w:pStyle w:val="Heading2"/>
      </w:pPr>
      <w:r>
        <w:rPr>
          <w:color w:val="2E74B5"/>
        </w:rPr>
        <w:t>6.3 Инцидент #3 — PostgreSQL 15 breaking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"Still cannot connect to database" после создания пользователя и БД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Причина 1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PowerShell экранирование $-символов в DO $$ блоке через флаг -c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Причина 2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PostgreSQL 15 отозвал привилегию CREATE по умолчанию на схеме public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Причина 3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CREATE USER через -c мог завершиться без ошибки при неверном цитировании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SQL записывается во временный .sql файл, передаётся через psql -f (без экранирования). Добавлены: GRANT ALL ON SCHEMA public, GRANT ALL PRIVILEGES ON ALL TABLES/SEQUENCES, ALTER DEFAULT PRIVILEGES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Закрыт</w:t>
            </w:r>
          </w:p>
        </w:tc>
      </w:tr>
    </w:tbl>
    <w:p/>
    <w:p>
      <w:pPr>
        <w:pStyle w:val="Heading2"/>
      </w:pPr>
      <w:r>
        <w:rPr>
          <w:color w:val="2E74B5"/>
        </w:rPr>
        <w:t>6.4 Инцидент #4 — CORS блокировка file:// origin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Firefox: Cross-Origin Request Blocked при попытке логина из GTCP_MVP.html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Причина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HTML открыт из file:// → браузер отправляет Origin: "null" (строка). Условие !origin не срабатывало, т.к. строка "null" является truthy значением в JavaScript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Добавлена проверка origin === "null" в CORS middleware: if (!origin || origin === "null") return cb(null, true)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Закрыт</w:t>
            </w:r>
          </w:p>
        </w:tc>
      </w:tr>
    </w:tbl>
    <w:p/>
    <w:p>
      <w:pPr>
        <w:pStyle w:val="Heading2"/>
      </w:pPr>
      <w:r>
        <w:rPr>
          <w:color w:val="2E74B5"/>
        </w:rPr>
        <w:t>6.5 Минорный инцидент — /health эндпоинт 404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Симптом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GET /api/v1/health → 404 Not Found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Причина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Маршрут зарегистрирован как /health без префикса API (app.get("/health", ...))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Решение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Исправлено на app.get(`${API}/health`, ...) — префикс /api/v1 применён корректно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Закрыт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7. Верификация и тестирование</w:t>
      </w:r>
    </w:p>
    <w:p>
      <w:pPr>
        <w:pStyle w:val="Heading2"/>
      </w:pPr>
      <w:r>
        <w:rPr>
          <w:color w:val="2E74B5"/>
        </w:rPr>
        <w:t>7.1 Результаты запуска setup_local.ps1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Команда / Проверка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[0] Node.js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node --version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v24.13.1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[1] PostgreSQL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psql found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C:\Program Files\PostgreSQL\17\bin\psql.exe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[2] .env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DB_PASSWORD, JWT secrets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Загружен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[3] Database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CREATE USER + DB + GRANT SCHEMA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gtcp_user@localhost:8888/gtcp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[4] npm install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package.json dependencies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Зависимости установлены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[5] Migrations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001_initial.sql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All migrations applied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[6] Seed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Argon2id × 5 пользователей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Seed complete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[7] Server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node src/app.js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Listening on port 3000</w:t>
            </w:r>
          </w:p>
        </w:tc>
      </w:tr>
    </w:tbl>
    <w:p/>
    <w:p>
      <w:pPr>
        <w:pStyle w:val="Heading2"/>
      </w:pPr>
      <w:r>
        <w:rPr>
          <w:color w:val="2E74B5"/>
        </w:rPr>
        <w:t>7.2 Верификация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Ожидание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Факт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GET /api/v1/health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200 {"status":"ok"}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200 OK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 /api/v1/auth/login (admin/Admin@2026!)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200 + accessToken + refreshToken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200 OK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POST /api/v1/auth/login (неверный пароль)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401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GET /api/v1/shippers (без токена)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401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GET /api/v1/shippers (с Bearer токеном admin)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200 + массив шипперов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✅ 200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GTCP_MVP.html → логин admin/Admin@2026!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API-режим, dashboard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Работает</w:t>
            </w:r>
          </w:p>
        </w:tc>
      </w:tr>
    </w:tbl>
    <w:p/>
    <w:p>
      <w:pPr>
        <w:pStyle w:val="Heading2"/>
      </w:pPr>
      <w:r>
        <w:rPr>
          <w:color w:val="2E74B5"/>
        </w:rPr>
        <w:t>7.3 Demo Credentials (Seed)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Логин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Пароль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Права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Admin@2026!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Полный доступ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dispatcher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dispatcher1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Disp@2026!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Номинации, мощности, баланс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credit1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Credit@2026!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Кредитный мониторинг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billing1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Billing@2026!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Биллинг, счета-фактуры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contracts1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Contracts@2026!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Договоры, шипперы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8. Метрики спринта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538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Строк кода (backend)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~1 850 строк (JS)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Строк кода (frontend api.js)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~320 строк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Строк SQL (migrations + seed)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~280 строк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Строк скриптов (.ps1 / .bat)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~480 строк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API-маршрутов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9 модулей, 40+ эндпоинтов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Таблиц БД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 таблиц + триггеры + индексы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Ролей RBAC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5 ролей, 20+ разрешений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Инцидентов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инцидентов → все устранены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Тестовых пользователей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5 (Argon2id хэши)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Время первого запуска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Стек поднимается за ~45 секунд (setup_local.ps1)</w:t>
            </w:r>
          </w:p>
        </w:tc>
      </w:tr>
    </w:tbl>
    <w:p/>
    <w:p>
      <w:pPr>
        <w:pStyle w:val="Heading1"/>
      </w:pPr>
      <w:r>
        <w:rPr>
          <w:color w:val="1F497D"/>
        </w:rPr>
        <w:t>9. Plan Спринта 5</w:t>
      </w:r>
    </w:p>
    <w:p>
      <w:pPr>
        <w:pStyle w:val="Heading2"/>
      </w:pPr>
      <w:r>
        <w:rPr>
          <w:color w:val="2E74B5"/>
        </w:rPr>
        <w:t>9.1 Цель</w:t>
      </w:r>
    </w:p>
    <w:p>
      <w:pPr>
        <w:spacing w:after="80"/>
      </w:pPr>
      <w:r>
        <w:rPr>
          <w:b w:val="0"/>
          <w:sz w:val="20"/>
        </w:rPr>
        <w:t>Спринт 5: Подключение GTCP_MVP.html к реальным данным — CRUD-операции, живые номинации, кредитный мониторинг, биллинг через API.</w:t>
      </w:r>
    </w:p>
    <w:p>
      <w:pPr>
        <w:pStyle w:val="Heading2"/>
      </w:pPr>
      <w:r>
        <w:rPr>
          <w:color w:val="2E74B5"/>
        </w:rPr>
        <w:t>9.2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S5-01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Загрузка списка шипперов из API в таблицу UI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shippers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S5-02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Форма создания номинации → POST /nominations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nominations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S5-03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Кнопка Match → POST /nominations/match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nominations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S5-04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Дашборд кредитного лимита из GET /credits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credits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S5-05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Таблица инвойсов + фильтрация из GET /billing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S5-06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Журнал аудита (GET /audit) в разделе Admin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S5-07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Баланс газового дня (GET /balance)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S5-08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Unit-тесты auth middleware (Jest)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11. Интеграция с RBP.EU — EDIG@S адаптер</w:t>
      </w:r>
    </w:p>
    <w:p>
      <w:pPr>
        <w:pStyle w:val="Heading2"/>
      </w:pPr>
      <w:r>
        <w:rPr>
          <w:color w:val="2E74B5"/>
        </w:rPr>
        <w:t>11.1 Принцип взаимодействия GTCP ↔ RBP.EU</w:t>
      </w:r>
    </w:p>
    <w:p>
      <w:pPr>
        <w:rPr/>
      </w:pPr>
      <w:r>
        <w:rPr>
          <w:sz w:val="20"/>
          <w:szCs w:val="20"/>
        </w:rPr>
        <w:t>GTCP является внутренней ETRM-системой шиппера. RBP.EU (Regional Booking Platform, оператор Gastrans Serbia) — платформа TSO (оператора ГТС). Взаимодействие реализуется по протоколу EDIG@S v4.1 (XML-сообщения поверх HTTPS/AS2/SFTP).</w:t>
      </w:r>
    </w:p>
    <w:p>
      <w:pPr>
        <w:pStyle w:val="Heading2"/>
      </w:pPr>
      <w:r>
        <w:rPr>
          <w:color w:val="2E74B5"/>
        </w:rPr>
        <w:t>11.2 Типы EDIG@S сообщений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00"/>
        <w:gridCol w:w="2500"/>
        <w:gridCol w:w="5360"/>
      </w:tblGrid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74B5"/>
          </w:tcPr>
          <w:p>
            <w:r>
              <w:rPr>
                <w:sz w:val="18"/>
                <w:szCs w:val="18"/>
                <w:b/>
                <w:color w:val="FFFFFF"/>
              </w:rPr>
              <w:t>Тип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74B5"/>
          </w:tcPr>
          <w:p>
            <w:r>
              <w:rPr>
                <w:sz w:val="18"/>
                <w:szCs w:val="18"/>
                <w:b/>
                <w:color w:val="FFFFFF"/>
              </w:rPr>
              <w:t>Направление</w:t>
            </w:r>
          </w:p>
        </w:tc>
        <w:tc>
          <w:tcPr>
            <w:tcW w:w="5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74B5"/>
          </w:tcPr>
          <w:p>
            <w:r>
              <w:rPr>
                <w:sz w:val="18"/>
                <w:szCs w:val="18"/>
                <w:b/>
                <w:color w:val="FFFFFF"/>
              </w:rPr>
              <w:t>Описание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NOMINT P02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GTCP → RBP.EU</w:t>
            </w:r>
          </w:p>
        </w:tc>
        <w:tc>
          <w:tcPr>
            <w:tcW w:w="5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Регулярная номинация (подача)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NOMINT P03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GTCP → RBP.EU</w:t>
            </w:r>
          </w:p>
        </w:tc>
        <w:tc>
          <w:tcPr>
            <w:tcW w:w="5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Реноминация (±10% CAM NC)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NOMRES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RBP.EU → GTCP</w:t>
            </w:r>
          </w:p>
        </w:tc>
        <w:tc>
          <w:tcPr>
            <w:tcW w:w="5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Результат матчинга от TSO (A01/A02/A06)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CAPINT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GTCP → RBP.EU</w:t>
            </w:r>
          </w:p>
        </w:tc>
        <w:tc>
          <w:tcPr>
            <w:tcW w:w="5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Запрос бронирования мощности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CAPRES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RBP.EU → GTCP</w:t>
            </w:r>
          </w:p>
        </w:tc>
        <w:tc>
          <w:tcPr>
            <w:tcW w:w="5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Подтверждение мощности от TSO</w:t>
            </w:r>
          </w:p>
        </w:tc>
      </w:tr>
    </w:tbl>
    <w:p>
      <w:pPr>
        <w:rPr/>
      </w:pPr>
      <w:r>
        <w:rPr>
          <w:sz w:val="20"/>
          <w:szCs w:val="20"/>
        </w:rPr>
        <w:t/>
      </w:r>
    </w:p>
    <w:p>
      <w:pPr>
        <w:pStyle w:val="Heading2"/>
      </w:pPr>
      <w:r>
        <w:rPr>
          <w:color w:val="2E74B5"/>
        </w:rPr>
        <w:t>11.3 Реализованные эндпоинты</w:t>
      </w:r>
    </w:p>
    <w:p>
      <w:pPr>
        <w:rPr/>
      </w:pPr>
      <w:r>
        <w:rPr>
          <w:sz w:val="20"/>
          <w:szCs w:val="20"/>
        </w:rPr>
        <w:t>В Спринте 4 реализован сервис edigasService.js и два эндпоинта в модуле nominations:</w:t>
      </w:r>
    </w:p>
    <w:tbl>
      <w:tblPr>
        <w:tblW w:w="9360" w:type="dxa"/>
      </w:tblPr>
      <w:tblGrid>
        <w:gridCol w:w="3500"/>
        <w:gridCol w:w="5860"/>
      </w:tblGrid>
      <w:tr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74B5"/>
          </w:tcPr>
          <w:p>
            <w:r>
              <w:rPr>
                <w:sz w:val="18"/>
                <w:szCs w:val="18"/>
                <w:b/>
                <w:color w:val="FFFFFF"/>
              </w:rPr>
              <w:t>Эндпоинт</w:t>
            </w:r>
          </w:p>
        </w:tc>
        <w:tc>
          <w:tcPr>
            <w:tcW w:w="5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74B5"/>
          </w:tcPr>
          <w:p>
            <w:r>
              <w:rPr>
                <w:sz w:val="18"/>
                <w:szCs w:val="18"/>
                <w:b/>
                <w:color w:val="FFFFFF"/>
              </w:rPr>
              <w:t>Описание</w:t>
            </w:r>
          </w:p>
        </w:tc>
      </w:tr>
      <w:tr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GET /nominations/:id/edigas-nomint</w:t>
            </w:r>
          </w:p>
        </w:tc>
        <w:tc>
          <w:tcPr>
            <w:tcW w:w="5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Предпросмотр NOMINT XML перед отправкой</w:t>
            </w:r>
          </w:p>
        </w:tc>
      </w:tr>
      <w:tr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POST /nominations/:id/edigas-submit</w:t>
            </w:r>
          </w:p>
        </w:tc>
        <w:tc>
          <w:tcPr>
            <w:tcW w:w="5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sz w:val="18"/>
                <w:szCs w:val="18"/>
              </w:rPr>
              <w:t>Генерация + отправка NOMINT на RBP.EU, парсинг NOMRES</w:t>
            </w:r>
          </w:p>
        </w:tc>
      </w:tr>
    </w:tbl>
    <w:p>
      <w:pPr>
        <w:rPr/>
      </w:pPr>
      <w:r>
        <w:rPr>
          <w:sz w:val="20"/>
          <w:szCs w:val="20"/>
        </w:rPr>
        <w:t/>
      </w:r>
    </w:p>
    <w:p>
      <w:pPr>
        <w:pStyle w:val="Heading2"/>
      </w:pPr>
      <w:r>
        <w:rPr>
          <w:color w:val="2E74B5"/>
        </w:rPr>
        <w:t>11.4 Режимы работы адаптера</w:t>
      </w:r>
    </w:p>
    <w:p>
      <w:pPr>
        <w:rPr/>
      </w:pPr>
      <w:r>
        <w:rPr>
          <w:sz w:val="20"/>
          <w:szCs w:val="20"/>
        </w:rPr>
        <w:t>Разработка (NODE_ENV=development): адаптер работает в mock-режиме — симулирует ответ RBP.EU (NOMRES A01 = Accepted) с задержкой 200 мс. Производство (NODE_ENV=production): реальный HTTPS POST на RBP_URL с Bearer-токеном RBP_API_TOKEN. Переменные окружения: EIC_SENDER, EIC_TSO, EIC_HORGOS, EIC_GOSPO, RBP_URL, RBP_API_TOKEN.</w:t>
      </w:r>
    </w:p>
    <w:p>
      <w:pPr>
        <w:pStyle w:val="Heading2"/>
      </w:pPr>
      <w:r>
        <w:rPr>
          <w:color w:val="2E74B5"/>
        </w:rPr>
        <w:t>11.5 Структура NOMINT XML (EDIG@S v4.1)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&lt;?xml version="1.0" encoding="UTF-8"?&gt;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&lt;NominationDocument DtdVersion="4" DtdRelease="1"&gt;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&lt;DocumentIdentification v="GTCP-NOM-XXXXXXXX"/&gt;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&lt;DocumentType v="NOMINT"/&gt;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&lt;ProcessType v="P02"/&gt;  &lt;!-- P03 для реноминации --&gt;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&lt;SenderIdentification codingScheme="A01" v="21X-GTCP-SENDER-A"/&gt;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&lt;ReceiverIdentification codingScheme="A01" v="21X-GASTRANS-SRB-B"/&gt;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&lt;GasDay v="2026-03-25"/&gt;  &lt;!-- 06:00-06:00 CET --&gt;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&lt;TimeSeries&gt;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  &lt;BusinessType v="A04"/&gt;  &lt;!-- Nomination --&gt;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  &lt;MeasureUnit v="KWH"/&gt;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  &lt;ShipperIdentification codingScheme="A01" v="[EIC шиппера]"/&gt;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  &lt;PointIdentification codingScheme="A01" v="21Z-RS-HORGOS-ENTR-Y"/&gt;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  &lt;Direction v="Z02"/&gt;  &lt;!-- Z02=ENTRY, Z03=EXIT --&gt;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  &lt;!-- 24 часовых периода Position 01-24 --&gt;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  &lt;/TimeSeries&gt;</w:t>
      </w:r>
    </w:p>
    <w:p>
      <w:pPr>
        <w:ind w:left="720"/>
      </w:pPr>
      <w:r>
        <w:rPr>
          <w:rFonts w:ascii="Courier New" w:hAnsi="Courier New"/>
          <w:sz w:val="16"/>
          <w:color w:val="1F497D"/>
        </w:rPr>
        <w:t xml:space="preserve">&lt;/NominationDocument&gt;</w:t>
      </w:r>
    </w:p>
    <w:p>
      <w:pPr>
        <w:rPr/>
      </w:pPr>
      <w:r>
        <w:rPr>
          <w:sz w:val="20"/>
          <w:szCs w:val="20"/>
        </w:rPr>
        <w:t/>
      </w:r>
    </w:p>
    <w:p>
      <w:pPr>
        <w:pStyle w:val="Heading1"/>
      </w:pPr>
      <w:r>
        <w:rPr>
          <w:color w:val="1F497D"/>
        </w:rPr>
        <w:t>12. Официальные тарифы Gastrans — АЕРС 05-145 GY2025/2026</w:t>
      </w:r>
    </w:p>
    <w:p>
      <w:pPr>
        <w:spacing w:after="80"/>
      </w:pPr>
      <w:r>
        <w:rPr>
          <w:b/>
          <w:sz w:val="20"/>
        </w:rPr>
        <w:t>Источник:</w:t>
      </w:r>
      <w:r>
        <w:rPr>
          <w:sz w:val="20"/>
        </w:rPr>
        <w:t xml:space="preserve"> Решение АЕРС №05-145 от 17 июля 2025 г. (подтверждено 25.07.2025). Тарифная единица: EUR/(kWh/h)/период. Тарифы вступают в силу с 01.10.2025 (газовый год 2025/2026).</w:t>
      </w:r>
    </w:p>
    <w:p>
      <w:pPr>
        <w:pStyle w:val="Heading2"/>
      </w:pPr>
      <w:r>
        <w:rPr>
          <w:color w:val="2E75B6"/>
        </w:rPr>
        <w:t>12.1 Тарифная таблица Annual Firm (ключевые продукты)</w:t>
      </w:r>
    </w:p>
    <w:tbl>
      <w:tblPr>
        <w:tblW w:w="936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CCCCCC"/>
          <w:insideV w:val="single" w:sz="4" w:color="CCCCCC"/>
        </w:tblBorders>
      </w:tblPr>
      <w:tblGrid>
        <w:gridCol w:w="2600"/>
        <w:gridCol w:w="2200"/>
        <w:gridCol w:w="1520"/>
        <w:gridCol w:w="1520"/>
        <w:gridCol w:w="1520"/>
      </w:tblGrid>
      <w:tr>
        <w:trPr>
          <w:tblHeader/>
        </w:trPr>
        <w:tc>
          <w:tcPr>
            <w:tcW w:w="2600" w:type="dxa"/>
            <w:shd w:val="clear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w="2200" w:type="dxa"/>
            <w:shd w:val="clear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Точка</w:t>
            </w:r>
          </w:p>
        </w:tc>
        <w:tc>
          <w:tcPr>
            <w:tcW w:w="1520" w:type="dxa"/>
            <w:shd w:val="clear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EUR/(kWh/h)/yr</w:t>
            </w:r>
          </w:p>
        </w:tc>
        <w:tc>
          <w:tcPr>
            <w:tcW w:w="1520" w:type="dxa"/>
            <w:shd w:val="clear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Входит в систему</w:t>
            </w:r>
          </w:p>
        </w:tc>
        <w:tc>
          <w:tcPr>
            <w:tcW w:w="1520" w:type="dxa"/>
            <w:shd w:val="clear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Ключ system_params</w:t>
            </w:r>
          </w:p>
        </w:tc>
      </w:tr>
      <w:tr>
        <w:tc>
          <w:tcPr>
            <w:tcW w:w="2600" w:type="dxa"/>
            <w:shd w:val="clear" w:fill="EBF0F8"/>
          </w:tcPr>
          <w:p>
            <w:r>
              <w:rPr>
                <w:sz w:val="18"/>
              </w:rPr>
              <w:t>Annual Firm</w:t>
            </w:r>
          </w:p>
        </w:tc>
        <w:tc>
          <w:tcPr>
            <w:tcW w:w="2200" w:type="dxa"/>
            <w:shd w:val="clear" w:fill="EBF0F8"/>
          </w:tcPr>
          <w:p>
            <w:r>
              <w:rPr>
                <w:sz w:val="18"/>
              </w:rPr>
              <w:t>Entry Gospođinci (KIREVO)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6.00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capacity_tariffs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>Annual Firm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Domestic Exit (Gospođinci)</w:t>
            </w:r>
          </w:p>
        </w:tc>
        <w:tc>
          <w:tcPr>
            <w:tcW w:w="1520" w:type="dxa"/>
          </w:tcPr>
          <w:p>
            <w:pPr>
              <w:jc w:val="center"/>
            </w:pPr>
            <w:r>
              <w:rPr>
                <w:b/>
                <w:sz w:val="18"/>
              </w:rPr>
              <w:t>4.19</w:t>
            </w:r>
          </w:p>
        </w:tc>
        <w:tc>
          <w:tcPr>
            <w:tcW w:w="1520" w:type="dxa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w="1520" w:type="dxa"/>
          </w:tcPr>
          <w:p>
            <w:r>
              <w:rPr>
                <w:sz w:val="16"/>
              </w:rPr>
              <w:t>tariff_entry_gospodjinci_eur_kwh_h_yr</w:t>
            </w:r>
          </w:p>
        </w:tc>
      </w:tr>
      <w:tr>
        <w:tc>
          <w:tcPr>
            <w:tcW w:w="2600" w:type="dxa"/>
            <w:shd w:val="clear" w:fill="EBF0F8"/>
          </w:tcPr>
          <w:p>
            <w:r>
              <w:rPr>
                <w:sz w:val="18"/>
              </w:rPr>
              <w:t>Annual Firm</w:t>
            </w:r>
          </w:p>
        </w:tc>
        <w:tc>
          <w:tcPr>
            <w:tcW w:w="2200" w:type="dxa"/>
            <w:shd w:val="clear" w:fill="EBF0F8"/>
          </w:tcPr>
          <w:p>
            <w:r>
              <w:rPr>
                <w:sz w:val="18"/>
              </w:rPr>
              <w:t>Exit Horgoš (IP Kiskundorozsma)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b/>
                <w:sz w:val="18"/>
              </w:rPr>
              <w:t>6.85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w="1520" w:type="dxa"/>
            <w:shd w:val="clear" w:fill="EBF0F8"/>
          </w:tcPr>
          <w:p>
            <w:r>
              <w:rPr>
                <w:sz w:val="16"/>
              </w:rPr>
              <w:t>tariff_exit_horgos_eur_kwh_h_yr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8"/>
              </w:rPr>
              <w:t>Annual Firm (Entry+Exit)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Bundled Gospođinci→Horgoš</w:t>
            </w:r>
          </w:p>
        </w:tc>
        <w:tc>
          <w:tcPr>
            <w:tcW w:w="1520" w:type="dxa"/>
          </w:tcPr>
          <w:p>
            <w:pPr>
              <w:jc w:val="center"/>
            </w:pPr>
            <w:r>
              <w:rPr>
                <w:b/>
                <w:sz w:val="18"/>
                <w:color w:val="1F497D"/>
              </w:rPr>
              <w:t>11.04</w:t>
            </w:r>
          </w:p>
        </w:tc>
        <w:tc>
          <w:tcPr>
            <w:tcW w:w="1520" w:type="dxa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w="1520" w:type="dxa"/>
          </w:tcPr>
          <w:p>
            <w:r>
              <w:rPr>
                <w:sz w:val="16"/>
              </w:rPr>
              <w:t>tariff_bundled_annual_eur_kwh_h_yr</w:t>
            </w:r>
          </w:p>
        </w:tc>
      </w:tr>
      <w:tr>
        <w:tc>
          <w:tcPr>
            <w:tcW w:w="2600" w:type="dxa"/>
            <w:shd w:val="clear" w:fill="EBF0F8"/>
          </w:tcPr>
          <w:p>
            <w:r>
              <w:rPr>
                <w:sz w:val="18"/>
              </w:rPr>
              <w:t>Commercial Reverse Annual</w:t>
            </w:r>
          </w:p>
        </w:tc>
        <w:tc>
          <w:tcPr>
            <w:tcW w:w="2200" w:type="dxa"/>
            <w:shd w:val="clear" w:fill="EBF0F8"/>
          </w:tcPr>
          <w:p>
            <w:r>
              <w:rPr>
                <w:sz w:val="18"/>
              </w:rPr>
              <w:t>Exit Horgoš (reverse)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b/>
                <w:sz w:val="18"/>
              </w:rPr>
              <w:t>3.25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w="1520" w:type="dxa"/>
            <w:shd w:val="clear" w:fill="EBF0F8"/>
          </w:tcPr>
          <w:p>
            <w:r>
              <w:rPr>
                <w:sz w:val="16"/>
              </w:rPr>
              <w:t>tariff_commercial_reverse_eur_kwh_h_yr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>Daily Firm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>Entry Gospođinci (daily)</w:t>
            </w:r>
          </w:p>
        </w:tc>
        <w:tc>
          <w:tcPr>
            <w:tcW w:w="1520" w:type="dxa"/>
          </w:tcPr>
          <w:p>
            <w:pPr>
              <w:jc w:val="center"/>
            </w:pPr>
            <w:r>
              <w:rPr>
                <w:sz w:val="18"/>
              </w:rPr>
              <w:t>0.0230 /day</w:t>
            </w:r>
          </w:p>
        </w:tc>
        <w:tc>
          <w:tcPr>
            <w:tcW w:w="1520" w:type="dxa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w="1520" w:type="dxa"/>
          </w:tcPr>
          <w:p>
            <w:r>
              <w:rPr>
                <w:sz w:val="16"/>
              </w:rPr>
              <w:t>tariff_daily_entry_eur_kwh_h</w:t>
            </w:r>
          </w:p>
        </w:tc>
      </w:tr>
      <w:tr>
        <w:tc>
          <w:tcPr>
            <w:tcW w:w="2600" w:type="dxa"/>
            <w:shd w:val="clear" w:fill="EBF0F8"/>
          </w:tcPr>
          <w:p>
            <w:r>
              <w:rPr>
                <w:sz w:val="18"/>
              </w:rPr>
              <w:t>Daily Firm</w:t>
            </w:r>
          </w:p>
        </w:tc>
        <w:tc>
          <w:tcPr>
            <w:tcW w:w="2200" w:type="dxa"/>
            <w:shd w:val="clear" w:fill="EBF0F8"/>
          </w:tcPr>
          <w:p>
            <w:r>
              <w:rPr>
                <w:sz w:val="18"/>
              </w:rPr>
              <w:t>Exit Horgoš (daily)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0.0375 /day</w:t>
            </w:r>
          </w:p>
        </w:tc>
        <w:tc>
          <w:tcPr>
            <w:tcW w:w="1520" w:type="dxa"/>
            <w:shd w:val="clear" w:fill="EBF0F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w="1520" w:type="dxa"/>
            <w:shd w:val="clear" w:fill="EBF0F8"/>
          </w:tcPr>
          <w:p>
            <w:r>
              <w:rPr>
                <w:sz w:val="16"/>
              </w:rPr>
              <w:t>tariff_daily_exit_horgos_eur_kwh_h</w:t>
            </w:r>
          </w:p>
        </w:tc>
      </w:tr>
    </w:tbl>
    <w:p>
      <w:pPr>
        <w:pStyle w:val="Heading2"/>
      </w:pPr>
      <w:r>
        <w:rPr>
          <w:color w:val="2E75B6"/>
        </w:rPr>
        <w:t>12.2 Модель тарификации (take-or-pay, capacity-based)</w:t>
      </w:r>
    </w:p>
    <w:p>
      <w:pPr>
        <w:spacing w:after="80"/>
      </w:pPr>
      <w:r>
        <w:rPr>
          <w:sz w:val="20"/>
        </w:rPr>
        <w:t xml:space="preserve">Gastrans применяет модель “take-or-pay” в соответствии с CAM NC (EU Regulation 2017/459). Грузоотправитель платит за </w:t>
      </w:r>
      <w:r>
        <w:rPr>
          <w:b/>
          <w:sz w:val="20"/>
        </w:rPr>
        <w:t>зарезервированную мощность</w:t>
      </w:r>
      <w:r>
        <w:rPr>
          <w:sz w:val="20"/>
        </w:rPr>
        <w:t xml:space="preserve">, а не за фактически транспортированный объём газа. Расчётная формула:</w:t>
      </w:r>
    </w:p>
    <w:p>
      <w:pPr>
        <w:shd w:val="clear" w:fill="F0F4FA"/>
        <w:spacing w:before="120" w:after="120"/>
        <w:jc w:val="center"/>
      </w:pPr>
      <w:r>
        <w:rPr>
          <w:b/>
          <w:sz w:val="22"/>
          <w:color w:val="1F497D"/>
          <w:rFonts w:ascii="Courier New" w:hAnsi="Courier New"/>
        </w:rPr>
        <w:t>capacity_fee = capacity_kWh_h × (tariff_entry + tariff_exit) / 365 × days</w:t>
      </w:r>
    </w:p>
    <w:p>
      <w:pPr>
        <w:spacing w:after="80"/>
      </w:pPr>
      <w:r>
        <w:rPr>
          <w:sz w:val="20"/>
        </w:rPr>
        <w:t xml:space="preserve">Пример (Annual Firm, 60 483 072 kWh/h, 31 день): </w:t>
      </w:r>
      <w:r>
        <w:rPr>
          <w:b/>
          <w:sz w:val="20"/>
          <w:color w:val="1F497D"/>
          <w:rFonts w:ascii="Courier New" w:hAnsi="Courier New"/>
        </w:rPr>
        <w:t>60 483 072 × 11.04 / 365 × 31 = 56 516 498 EUR</w:t>
      </w:r>
    </w:p>
    <w:p>
      <w:pPr>
        <w:pStyle w:val="Heading2"/>
      </w:pPr>
      <w:r>
        <w:rPr>
          <w:color w:val="2E75B6"/>
        </w:rPr>
        <w:t>12.3 Артефакты реализации (Sprint 4)</w:t>
      </w:r>
    </w:p>
    <w:tbl>
      <w:tblPr>
        <w:tblW w:w="936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CCCCCC"/>
          <w:insideV w:val="single" w:sz="4" w:color="CCCCCC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w="32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Артефакт</w:t>
            </w:r>
          </w:p>
        </w:tc>
        <w:tc>
          <w:tcPr>
            <w:tcW w:w="30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w="316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w="3200" w:type="dxa"/>
            <w:shd w:val="clear" w:fill="EBF0F8"/>
          </w:tcPr>
          <w:p>
            <w:r>
              <w:rPr>
                <w:sz w:val="18"/>
              </w:rPr>
              <w:t>Миграция тарифной БД</w:t>
            </w:r>
          </w:p>
        </w:tc>
        <w:tc>
          <w:tcPr>
            <w:tcW w:w="3000" w:type="dxa"/>
            <w:shd w:val="clear" w:fill="EBF0F8"/>
          </w:tcPr>
          <w:p>
            <w:r>
              <w:rPr>
                <w:sz w:val="16"/>
                <w:rFonts w:ascii="Courier New" w:hAnsi="Courier New"/>
              </w:rPr>
              <w:t>004_tariff_official.sql</w:t>
            </w:r>
          </w:p>
        </w:tc>
        <w:tc>
          <w:tcPr>
            <w:tcW w:w="3160" w:type="dxa"/>
            <w:shd w:val="clear" w:fill="EBF0F8"/>
          </w:tcPr>
          <w:p>
            <w:r>
              <w:rPr>
                <w:sz w:val="18"/>
              </w:rPr>
              <w:t>capacity_tariffs (35 строк), mdap_daily, ALTER invoices, system_params (11 ключей)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Биллинг (capacity mode)</w:t>
            </w:r>
          </w:p>
        </w:tc>
        <w:tc>
          <w:tcPr>
            <w:tcW w:w="3000" w:type="dxa"/>
          </w:tcPr>
          <w:p>
            <w:r>
              <w:rPr>
                <w:sz w:val="16"/>
                <w:rFonts w:ascii="Courier New" w:hAnsi="Courier New"/>
              </w:rPr>
              <w:t>routes/billing.js</w:t>
            </w:r>
          </w:p>
        </w:tc>
        <w:tc>
          <w:tcPr>
            <w:tcW w:w="3160" w:type="dxa"/>
          </w:tcPr>
          <w:p>
            <w:r>
              <w:rPr>
                <w:sz w:val="18"/>
              </w:rPr>
              <w:t>calcCapacityFee(), dual-mode POST /billing (CAPACITY/VOLUME), getSystemParams()</w:t>
            </w:r>
          </w:p>
        </w:tc>
      </w:tr>
      <w:tr>
        <w:tc>
          <w:tcPr>
            <w:tcW w:w="3200" w:type="dxa"/>
            <w:shd w:val="clear" w:fill="EBF0F8"/>
          </w:tcPr>
          <w:p>
            <w:r>
              <w:rPr>
                <w:sz w:val="18"/>
              </w:rPr>
              <w:t>UI — Invoice modal</w:t>
            </w:r>
          </w:p>
        </w:tc>
        <w:tc>
          <w:tcPr>
            <w:tcW w:w="3000" w:type="dxa"/>
            <w:shd w:val="clear" w:fill="EBF0F8"/>
          </w:tcPr>
          <w:p>
            <w:r>
              <w:rPr>
                <w:sz w:val="16"/>
                <w:rFonts w:ascii="Courier New" w:hAnsi="Courier New"/>
              </w:rPr>
              <w:t>GTCP_MVP.html</w:t>
            </w:r>
          </w:p>
        </w:tc>
        <w:tc>
          <w:tcPr>
            <w:tcW w:w="3160" w:type="dxa"/>
            <w:shd w:val="clear" w:fill="EBF0F8"/>
          </w:tcPr>
          <w:p>
            <w:r>
              <w:rPr>
                <w:sz w:val="18"/>
              </w:rPr>
              <w:t>Переключатель CAPACITY/VOLUME, автозаполнение тарифов АЕРС, справочный блок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Анализ MDAP апрель 2025</w:t>
            </w:r>
          </w:p>
        </w:tc>
        <w:tc>
          <w:tcPr>
            <w:tcW w:w="3000" w:type="dxa"/>
          </w:tcPr>
          <w:p>
            <w:r>
              <w:rPr>
                <w:sz w:val="16"/>
                <w:rFonts w:ascii="Courier New" w:hAnsi="Courier New"/>
              </w:rPr>
              <w:t>Calculation april_25_*.xlsx</w:t>
            </w:r>
          </w:p>
        </w:tc>
        <w:tc>
          <w:tcPr>
            <w:tcW w:w="3160" w:type="dxa"/>
          </w:tcPr>
          <w:p>
            <w:r>
              <w:rPr>
                <w:sz w:val="18"/>
              </w:rPr>
              <w:t>Фактические суточные потоки (kWh, Nm³, kg) за апрель 2025. GCV=11.524 kWh/Nm³. Таблица mdap_daily.</w:t>
            </w:r>
          </w:p>
        </w:tc>
      </w:tr>
    </w:tbl>
    <w:p>
      <w:pPr>
        <w:spacing w:after="80"/>
      </w:pPr>
      <w:r>
        <w:rPr>
          <w:sz w:val="20"/>
        </w:rPr>
        <w:t xml:space="preserve">Примечание по MDAP: файл “Value of Goods” — это таможенная декларация стоимости товара (газа как сырья), а не транспортная плата. Тариф на транспортировку начисляется отдельно по модели take-or-pay на основе зарезервированной мощности.</w:t>
      </w:r>
    </w:p>
    <w:p>
      <w:pPr>
        <w:pStyle w:val="Heading1"/>
      </w:pPr>
      <w:r>
        <w:rPr>
          <w:color w:val="1F497D"/>
        </w:rPr>
        <w:t>13. Договоры GTA — Соответствие CAM NC / Gastrans NC</w:t>
      </w:r>
    </w:p>
    <w:p>
      <w:pPr>
        <w:spacing w:after="80"/>
      </w:pPr>
      <w:r>
        <w:rPr>
          <w:sz w:val="20"/>
        </w:rPr>
        <w:t xml:space="preserve">В Sprint 4 модуль “Contracts” приведён в соответствие с CAM NC (EU 2017/459) и Gastrans Network Code. Реализованы следующие изменения:</w:t>
      </w:r>
    </w:p>
    <w:p>
      <w:pPr>
        <w:pStyle w:val="Heading2"/>
      </w:pPr>
      <w:r>
        <w:rPr>
          <w:color w:val="2E75B6"/>
        </w:rPr>
        <w:t>13.1 Направления транспортировки (Flow Directions)</w:t>
      </w:r>
    </w:p>
    <w:tbl>
      <w:tblPr>
        <w:tblW w:w="936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CCCCCC"/>
          <w:insideV w:val="single" w:sz="4" w:color="CCCCCC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w="28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Код направления</w:t>
            </w:r>
          </w:p>
        </w:tc>
        <w:tc>
          <w:tcPr>
            <w:tcW w:w="20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Вход (Entry)</w:t>
            </w:r>
          </w:p>
        </w:tc>
        <w:tc>
          <w:tcPr>
            <w:tcW w:w="20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Выход (Exit)</w:t>
            </w:r>
          </w:p>
        </w:tc>
        <w:tc>
          <w:tcPr>
            <w:tcW w:w="256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Применимые типы GTA</w:t>
            </w:r>
          </w:p>
        </w:tc>
      </w:tr>
      <w:tr>
        <w:tc>
          <w:tcPr>
            <w:tcW w:w="2800" w:type="dxa"/>
            <w:shd w:val="clear" w:fill="EBF0F8"/>
          </w:tcPr>
          <w:p>
            <w:r>
              <w:rPr>
                <w:b/>
                <w:sz w:val="18"/>
                <w:rFonts w:ascii="Courier New" w:hAnsi="Courier New"/>
              </w:rPr>
              <w:t>GOSPODJINCI_HORGOS</w:t>
            </w:r>
          </w:p>
        </w:tc>
        <w:tc>
          <w:tcPr>
            <w:tcW w:w="2000" w:type="dxa"/>
            <w:shd w:val="clear" w:fill="EBF0F8"/>
          </w:tcPr>
          <w:p>
            <w:r>
              <w:rPr>
                <w:sz w:val="18"/>
              </w:rPr>
              <w:t>GMS-4 Gospođinci (Kirevo)</w:t>
            </w:r>
          </w:p>
        </w:tc>
        <w:tc>
          <w:tcPr>
            <w:tcW w:w="2000" w:type="dxa"/>
            <w:shd w:val="clear" w:fill="EBF0F8"/>
          </w:tcPr>
          <w:p>
            <w:r>
              <w:rPr>
                <w:sz w:val="18"/>
              </w:rPr>
              <w:t>IP Horgoš (Kiskundorozsma)</w:t>
            </w:r>
          </w:p>
        </w:tc>
        <w:tc>
          <w:tcPr>
            <w:tcW w:w="2560" w:type="dxa"/>
            <w:shd w:val="clear" w:fill="EBF0F8"/>
          </w:tcPr>
          <w:p>
            <w:r>
              <w:rPr>
                <w:sz w:val="18"/>
              </w:rPr>
              <w:t>FIRM_ANNUAL, QUARTERLY, MONTHLY, DAILY, WITHIN_DAY, INTERRUPTIBLE</w:t>
            </w:r>
          </w:p>
        </w:tc>
      </w:tr>
      <w:tr>
        <w:tc>
          <w:tcPr>
            <w:tcW w:w="2800" w:type="dxa"/>
          </w:tcPr>
          <w:p>
            <w:r>
              <w:rPr>
                <w:b/>
                <w:sz w:val="18"/>
                <w:rFonts w:ascii="Courier New" w:hAnsi="Courier New"/>
              </w:rPr>
              <w:t>HORGOS_GOSPODJINCI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IP Horgoš → Horgoš EXIT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Gospođinci domestic zone</w:t>
            </w:r>
          </w:p>
        </w:tc>
        <w:tc>
          <w:tcPr>
            <w:tcW w:w="2560" w:type="dxa"/>
          </w:tcPr>
          <w:p>
            <w:r>
              <w:rPr>
                <w:sz w:val="18"/>
              </w:rPr>
              <w:t>COMMERCIAL_REVERSE only</w:t>
            </w:r>
          </w:p>
        </w:tc>
      </w:tr>
    </w:tbl>
    <w:p>
      <w:pPr>
        <w:pStyle w:val="Heading2"/>
      </w:pPr>
      <w:r>
        <w:rPr>
          <w:color w:val="2E75B6"/>
        </w:rPr>
        <w:t>13.2 Изменения в системе (Sprint 4 deliverables)</w:t>
      </w:r>
    </w:p>
    <w:tbl>
      <w:tblPr>
        <w:tblW w:w="936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CCCCCC"/>
          <w:insideV w:val="single" w:sz="4" w:color="CCCCCC"/>
        </w:tblBorders>
      </w:tblPr>
      <w:tblGrid>
        <w:gridCol w:w="360"/>
        <w:gridCol w:w="3200"/>
        <w:gridCol w:w="3000"/>
        <w:gridCol w:w="2800"/>
      </w:tblGrid>
      <w:tr>
        <w:trPr>
          <w:tblHeader/>
        </w:trPr>
        <w:tc>
          <w:tcPr>
            <w:tcW w:w="36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2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Изменение</w:t>
            </w:r>
          </w:p>
        </w:tc>
        <w:tc>
          <w:tcPr>
            <w:tcW w:w="30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2800" w:type="dxa"/>
            <w:shd w:val="clear" w:fill="1F497D"/>
          </w:tcPr>
          <w:p>
            <w:r>
              <w:rPr>
                <w:b/>
                <w:color w:val="FFFFFF"/>
                <w:sz w:val="18"/>
              </w:rPr>
              <w:t>Статус CAM NC</w:t>
            </w:r>
          </w:p>
        </w:tc>
      </w:tr>
      <w:tr>
        <w:tc>
          <w:tcPr>
            <w:tcW w:w="360" w:type="dxa"/>
            <w:shd w:val="clear" w:fill="EBF0F8"/>
          </w:tcPr>
          <w:p>
            <w:r>
              <w:rPr>
                <w:sz w:val="18"/>
              </w:rPr>
              <w:t>1</w:t>
            </w:r>
          </w:p>
        </w:tc>
        <w:tc>
          <w:tcPr>
            <w:tcW w:w="3200" w:type="dxa"/>
            <w:shd w:val="clear" w:fill="EBF0F8"/>
          </w:tcPr>
          <w:p>
            <w:r>
              <w:rPr>
                <w:sz w:val="18"/>
              </w:rPr>
              <w:t>Нумерация договоров: CTR- → GTA-YYYY-NNN</w:t>
            </w:r>
          </w:p>
        </w:tc>
        <w:tc>
          <w:tcPr>
            <w:tcW w:w="3000" w:type="dxa"/>
            <w:shd w:val="clear" w:fill="EBF0F8"/>
          </w:tcPr>
          <w:p>
            <w:r>
              <w:rPr>
                <w:sz w:val="18"/>
              </w:rPr>
              <w:t>routes/contracts.js, UI</w:t>
            </w:r>
          </w:p>
        </w:tc>
        <w:tc>
          <w:tcPr>
            <w:tcW w:w="2800" w:type="dxa"/>
            <w:shd w:val="clear" w:fill="EBF0F8"/>
          </w:tcPr>
          <w:p>
            <w:r>
              <w:rPr>
                <w:sz w:val="18"/>
                <w:color w:val="375623"/>
              </w:rPr>
              <w:t>✓ Gas Transmission Agreement</w:t>
            </w:r>
          </w:p>
        </w:tc>
      </w:tr>
      <w:tr>
        <w:tc>
          <w:tcPr>
            <w:tcW w:w="36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3200" w:type="dxa"/>
          </w:tcPr>
          <w:p>
            <w:r>
              <w:rPr>
                <w:sz w:val="18"/>
              </w:rPr>
              <w:t>7 типов договоров CAM NC (ANNUAL/QUARTERLY/MONTHLY/DAILY/WITHIN_DAY/INTERRUPTIBLE/COMM_REVERSE)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>003_contracts_nc.sql, contracts.js</w:t>
            </w:r>
          </w:p>
        </w:tc>
        <w:tc>
          <w:tcPr>
            <w:tcW w:w="2800" w:type="dxa"/>
          </w:tcPr>
          <w:p>
            <w:r>
              <w:rPr>
                <w:sz w:val="18"/>
                <w:color w:val="375623"/>
              </w:rPr>
              <w:t>✓ Art. 14 CAM NC</w:t>
            </w:r>
          </w:p>
        </w:tc>
      </w:tr>
      <w:tr>
        <w:tc>
          <w:tcPr>
            <w:tcW w:w="360" w:type="dxa"/>
            <w:shd w:val="clear" w:fill="EBF0F8"/>
          </w:tcPr>
          <w:p>
            <w:r>
              <w:rPr>
                <w:sz w:val="18"/>
              </w:rPr>
              <w:t>3</w:t>
            </w:r>
          </w:p>
        </w:tc>
        <w:tc>
          <w:tcPr>
            <w:tcW w:w="3200" w:type="dxa"/>
            <w:shd w:val="clear" w:fill="EBF0F8"/>
          </w:tcPr>
          <w:p>
            <w:r>
              <w:rPr>
                <w:sz w:val="18"/>
              </w:rPr>
              <w:t>Мощность в kWh/h (официальная единица Gastrans, CAM NC)</w:t>
            </w:r>
          </w:p>
        </w:tc>
        <w:tc>
          <w:tcPr>
            <w:tcW w:w="3000" w:type="dxa"/>
            <w:shd w:val="clear" w:fill="EBF0F8"/>
          </w:tcPr>
          <w:p>
            <w:r>
              <w:rPr>
                <w:sz w:val="18"/>
              </w:rPr>
              <w:t>004_tariff_official.sql, UI</w:t>
            </w:r>
          </w:p>
        </w:tc>
        <w:tc>
          <w:tcPr>
            <w:tcW w:w="2800" w:type="dxa"/>
            <w:shd w:val="clear" w:fill="EBF0F8"/>
          </w:tcPr>
          <w:p>
            <w:r>
              <w:rPr>
                <w:sz w:val="18"/>
                <w:color w:val="375623"/>
              </w:rPr>
              <w:t>✓ Ст. 3(1) CAM NC</w:t>
            </w:r>
          </w:p>
        </w:tc>
      </w:tr>
      <w:tr>
        <w:tc>
          <w:tcPr>
            <w:tcW w:w="36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3200" w:type="dxa"/>
          </w:tcPr>
          <w:p>
            <w:r>
              <w:rPr>
                <w:sz w:val="18"/>
              </w:rPr>
              <w:t>Биллинг: volume-based → capacity-based take-or-pay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>billing.js (calcCapacityFee)</w:t>
            </w:r>
          </w:p>
        </w:tc>
        <w:tc>
          <w:tcPr>
            <w:tcW w:w="2800" w:type="dxa"/>
          </w:tcPr>
          <w:p>
            <w:r>
              <w:rPr>
                <w:sz w:val="18"/>
                <w:color w:val="375623"/>
              </w:rPr>
              <w:t>✓ КРИТИЧЕСКОЕ ИСПРАВЛЕНИЕ</w:t>
            </w:r>
          </w:p>
        </w:tc>
      </w:tr>
      <w:tr>
        <w:tc>
          <w:tcPr>
            <w:tcW w:w="360" w:type="dxa"/>
            <w:shd w:val="clear" w:fill="EBF0F8"/>
          </w:tcPr>
          <w:p>
            <w:r>
              <w:rPr>
                <w:sz w:val="18"/>
              </w:rPr>
              <w:t>5</w:t>
            </w:r>
          </w:p>
        </w:tc>
        <w:tc>
          <w:tcPr>
            <w:tcW w:w="3200" w:type="dxa"/>
            <w:shd w:val="clear" w:fill="EBF0F8"/>
          </w:tcPr>
          <w:p>
            <w:r>
              <w:rPr>
                <w:sz w:val="18"/>
              </w:rPr>
              <w:t>GET /contracts/meta — эндпоинт метаданных для UI</w:t>
            </w:r>
          </w:p>
        </w:tc>
        <w:tc>
          <w:tcPr>
            <w:tcW w:w="3000" w:type="dxa"/>
            <w:shd w:val="clear" w:fill="EBF0F8"/>
          </w:tcPr>
          <w:p>
            <w:r>
              <w:rPr>
                <w:sz w:val="18"/>
              </w:rPr>
              <w:t>routes/contracts.js</w:t>
            </w:r>
          </w:p>
        </w:tc>
        <w:tc>
          <w:tcPr>
            <w:tcW w:w="2800" w:type="dxa"/>
            <w:shd w:val="clear" w:fill="EBF0F8"/>
          </w:tcPr>
          <w:p>
            <w:r>
              <w:rPr>
                <w:sz w:val="18"/>
                <w:color w:val="375623"/>
              </w:rPr>
              <w:t>✓ API completeness</w:t>
            </w:r>
          </w:p>
        </w:tc>
      </w:tr>
    </w:tbl>
    <w:p>
      <w:pPr>
        <w:spacing w:after="160"/>
      </w:pPr>
      <w:r>
        <w:rPr>
          <w:sz w:val="20"/>
        </w:rPr>
        <w:t xml:space="preserve">Все изменения обратно совместимы: legacy VOLUME-mode биллинг сохранён. Нумерация GTA присваивается автоматически при отсутствии явного значения. Официальные тарифы АЕРС загружаются из таблицы system_params и могут обновляться без перекомпиляции.</w:t>
      </w:r>
    </w:p>
    <w:p>
      <w:pPr>
        <w:pStyle w:val="Heading1"/>
      </w:pPr>
      <w:r>
        <w:rPr>
          <w:color w:val="1F497D"/>
        </w:rPr>
        <w:t>10. Заключение</w:t>
      </w:r>
    </w:p>
    <w:p>
      <w:pPr>
        <w:spacing w:after="80"/>
      </w:pPr>
      <w:r>
        <w:rPr>
          <w:b w:val="0"/>
          <w:sz w:val="20"/>
        </w:rPr>
        <w:t xml:space="preserve">Спринт 4 выполнен в полном объёме и расширен дополнительными задачами по интеграции официальных тарифов АЕРС. Реализован production-grade backend для дипломного проекта GTCP с соблюдением принципов безопасности (JWT + Argon2id, RBAC, rate-limiting, helmet) и отраслевых стандартов газовой торговли (CAM NC EU 2017/459, Gas Day 06:00–06:00 CET, EIC-коды, номенклатура ENTRY/EXIT). Критически важным результатом является исправление модели тарификации: система переведена с volume-based (EUR/MWh) на capacity-based take-or-pay (EUR/(kWh/h)/год) в соответствии с решением АЕРС №05-145 и реальной практикой Gastrans Serbia.</w:t>
      </w:r>
    </w:p>
    <w:p>
      <w:pPr>
        <w:spacing w:after="80"/>
      </w:pPr>
      <w:r>
        <w:rPr>
          <w:b w:val="0"/>
          <w:sz w:val="20"/>
        </w:rPr>
        <w:t>Все пять инцидентов, возникших в ходе развёртывания, задокументированы, проанализированы и устранены. Система успешно запущена на локальной машине разработчика, API доступен по адресу http://localhost:3000/api/v1, фронтенд GTCP_MVP.html корректно работает в API-режиме.</w:t>
      </w:r>
    </w:p>
    <w:p>
      <w:pPr>
        <w:spacing w:after="80"/>
      </w:pPr>
      <w:r>
        <w:rPr>
          <w:b/>
          <w:color w:val="1F497D"/>
          <w:sz w:val="20"/>
        </w:rPr>
        <w:t>Технический долг отсутствует. Система готова к Спринту 5.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808080"/>
        <w:sz w:val="16"/>
      </w:rPr>
      <w:t>GTCP — Gas Trading &amp; Commercial Platform  |  Спринт 4 FINAL  |  Кравчук Л.А., PMNz-74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