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6DE2" w14:textId="77777777" w:rsidR="003B764C" w:rsidRDefault="00000000">
      <w:pPr>
        <w:pStyle w:val="Titolo"/>
        <w:jc w:val="center"/>
      </w:pPr>
      <w:r>
        <w:t>Guida operativa per analizzare il mercato azionario con R</w:t>
      </w:r>
    </w:p>
    <w:p w14:paraId="373743C1" w14:textId="77777777" w:rsidR="003B764C" w:rsidRDefault="00000000">
      <w:pPr>
        <w:jc w:val="center"/>
      </w:pPr>
      <w:r>
        <w:rPr>
          <w:i/>
          <w:sz w:val="22"/>
        </w:rPr>
        <w:t>Pipeline sintetica: dati, rendimenti, rischio, regressioni e diagnostica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B764C" w14:paraId="4F6B3A57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5E2F15FC" w14:textId="77777777" w:rsidR="003B764C" w:rsidRDefault="00000000">
            <w:r>
              <w:t>Obiettivo: costruire un progetto ordinato che parta dai dati storici e arrivi a modelli di regressione lineare interpretabili, evitando errori comuni come usare i prezzi al posto dei rendimenti.</w:t>
            </w:r>
          </w:p>
        </w:tc>
      </w:tr>
    </w:tbl>
    <w:p w14:paraId="5FA9F49E" w14:textId="77777777" w:rsidR="003B764C" w:rsidRDefault="00000000">
      <w:pPr>
        <w:pStyle w:val="Titolo1"/>
      </w:pPr>
      <w:r>
        <w:t>1. Definire la domanda di ricerca</w:t>
      </w:r>
    </w:p>
    <w:p w14:paraId="161A4983" w14:textId="77777777" w:rsidR="003B764C" w:rsidRDefault="00000000">
      <w:pPr>
        <w:pStyle w:val="Puntoelenco"/>
      </w:pPr>
      <w:r>
        <w:t>Scegli che cosa vuoi spiegare: rendimenti di un indice, beta di un titolo, effetto di VIX/tassi/petrolio, rischio storico o performance relativa.</w:t>
      </w:r>
    </w:p>
    <w:p w14:paraId="0982E097" w14:textId="77777777" w:rsidR="003B764C" w:rsidRDefault="00000000">
      <w:pPr>
        <w:pStyle w:val="Puntoelenco"/>
      </w:pPr>
      <w:r>
        <w:t>Esempio: Quanto i rendimenti dello S&amp;P 500 sono spiegati da Nasdaq, VIX e tassi USA?</w:t>
      </w:r>
    </w:p>
    <w:p w14:paraId="7CEEA498" w14:textId="77777777" w:rsidR="003B764C" w:rsidRDefault="00000000">
      <w:pPr>
        <w:pStyle w:val="Titolo1"/>
      </w:pPr>
      <w:r>
        <w:t>2. Raccogliere i dati</w:t>
      </w:r>
    </w:p>
    <w:p w14:paraId="6A2D4DB5" w14:textId="77777777" w:rsidR="003B764C" w:rsidRDefault="00000000">
      <w:pPr>
        <w:pStyle w:val="Puntoelenco"/>
      </w:pPr>
      <w:r>
        <w:t>Usa dati storici da Yahoo Finance tramite quantmod o tidyquant.</w:t>
      </w:r>
    </w:p>
    <w:p w14:paraId="670B0792" w14:textId="77777777" w:rsidR="003B764C" w:rsidRDefault="00000000">
      <w:pPr>
        <w:pStyle w:val="Puntoelenco"/>
      </w:pPr>
      <w:r>
        <w:t>Lavora con prezzi Adjusted Close, perché tengono conto di dividendi, split e corporate actions.</w:t>
      </w:r>
    </w:p>
    <w:p w14:paraId="2D2E5EAE" w14:textId="77777777" w:rsidR="003B764C" w:rsidRDefault="00000000">
      <w:pPr>
        <w:pStyle w:val="Puntoelenco"/>
      </w:pPr>
      <w:r>
        <w:t>Possibili variabili: S&amp;P 500, Nasdaq, Dow Jones, Euro Stoxx 50, FTSE MIB, VIX, petrolio, Treasury 10Y, EUR/USD.</w:t>
      </w:r>
    </w:p>
    <w:p w14:paraId="66F30F9A" w14:textId="77777777" w:rsidR="003B764C" w:rsidRDefault="00000000">
      <w:pPr>
        <w:pStyle w:val="Titolo1"/>
      </w:pPr>
      <w:r>
        <w:t>3. Trasformare prezzi in rendimenti</w:t>
      </w:r>
    </w:p>
    <w:p w14:paraId="15AA7159" w14:textId="77777777" w:rsidR="003B764C" w:rsidRDefault="00000000">
      <w:pPr>
        <w:pStyle w:val="Puntoelenco"/>
      </w:pPr>
      <w:r>
        <w:t>Non stimare regressioni sui prezzi: usa rendimenti, meglio se logaritmici.</w:t>
      </w:r>
    </w:p>
    <w:p w14:paraId="46CB141C" w14:textId="77777777" w:rsidR="003B764C" w:rsidRDefault="00000000">
      <w:pPr>
        <w:pStyle w:val="Puntoelenco"/>
      </w:pPr>
      <w:r>
        <w:t>Formula: r_t = log(P_t / P_{t-1}).</w:t>
      </w:r>
    </w:p>
    <w:p w14:paraId="77CF5986" w14:textId="77777777" w:rsidR="003B764C" w:rsidRDefault="00000000">
      <w:pPr>
        <w:pStyle w:val="Puntoelenco"/>
      </w:pPr>
      <w:r>
        <w:t>I rendimenti sono più adatti a regressioni OLS perché riducono il rischio di relazioni spurie tra serie non stazionarie.</w:t>
      </w:r>
    </w:p>
    <w:p w14:paraId="68AA6456" w14:textId="77777777" w:rsidR="003B764C" w:rsidRDefault="00000000">
      <w:pPr>
        <w:pStyle w:val="Titolo1"/>
      </w:pPr>
      <w:r>
        <w:t>4. Fare analisi descrittiva</w:t>
      </w:r>
    </w:p>
    <w:p w14:paraId="6BD81E6B" w14:textId="77777777" w:rsidR="003B764C" w:rsidRDefault="00000000">
      <w:pPr>
        <w:pStyle w:val="Puntoelenco"/>
      </w:pPr>
      <w:r>
        <w:t>Calcola rendimento medio, rendimento annualizzato, volatilità annualizzata, Sharpe ratio, max drawdown, VaR, Expected Shortfall, skewness e kurtosis.</w:t>
      </w:r>
    </w:p>
    <w:p w14:paraId="5D13CD47" w14:textId="77777777" w:rsidR="003B764C" w:rsidRDefault="00000000">
      <w:pPr>
        <w:pStyle w:val="Puntoelenco"/>
      </w:pPr>
      <w:r>
        <w:t>Questa sezione serve a descrivere rischio e performance prima di passare ai modelli.</w:t>
      </w:r>
    </w:p>
    <w:p w14:paraId="5BB717E6" w14:textId="77777777" w:rsidR="003B764C" w:rsidRDefault="00000000">
      <w:pPr>
        <w:pStyle w:val="Titolo1"/>
      </w:pPr>
      <w:r>
        <w:t>5. Costruire i grafici principali</w:t>
      </w:r>
    </w:p>
    <w:p w14:paraId="1A1CBD1B" w14:textId="77777777" w:rsidR="003B764C" w:rsidRDefault="00000000">
      <w:pPr>
        <w:pStyle w:val="Puntoelenco"/>
      </w:pPr>
      <w:r>
        <w:t>Prezzi storici, rendimenti cumulati, drawdown, rolling volatility, matrice di correlazione e distribuzione dei rendimenti.</w:t>
      </w:r>
    </w:p>
    <w:p w14:paraId="5B8F7386" w14:textId="77777777" w:rsidR="003B764C" w:rsidRDefault="00000000">
      <w:pPr>
        <w:pStyle w:val="Puntoelenco"/>
      </w:pPr>
      <w:r>
        <w:t>I grafici aiutano a individuare crisi, clustering della volatilità e relazioni tra mercati.</w:t>
      </w:r>
    </w:p>
    <w:p w14:paraId="294FB6CB" w14:textId="77777777" w:rsidR="003B764C" w:rsidRDefault="00000000">
      <w:pPr>
        <w:pStyle w:val="Titolo1"/>
      </w:pPr>
      <w:r>
        <w:t>6. Stimare una regressione semplice</w:t>
      </w:r>
    </w:p>
    <w:p w14:paraId="72245EC9" w14:textId="77777777" w:rsidR="003B764C" w:rsidRDefault="00000000">
      <w:pPr>
        <w:pStyle w:val="Puntoelenco"/>
      </w:pPr>
      <w:r>
        <w:t>Parti da un modello intuitivo, ad esempio R_SP500 = alpha + beta R_Nasdaq + errore.</w:t>
      </w:r>
    </w:p>
    <w:p w14:paraId="78554B70" w14:textId="77777777" w:rsidR="003B764C" w:rsidRDefault="00000000">
      <w:pPr>
        <w:pStyle w:val="Puntoelenco"/>
      </w:pPr>
      <w:r>
        <w:lastRenderedPageBreak/>
        <w:t>Interpreta beta come sensibilità media dello S&amp;P 500 ai movimenti del Nasdaq.</w:t>
      </w:r>
    </w:p>
    <w:p w14:paraId="7B3C02CB" w14:textId="77777777" w:rsidR="003B764C" w:rsidRDefault="00000000">
      <w:pPr>
        <w:pStyle w:val="Titolo1"/>
      </w:pPr>
      <w:r>
        <w:t>7. Passare a una regressione multifattoriale</w:t>
      </w:r>
    </w:p>
    <w:p w14:paraId="4844105E" w14:textId="77777777" w:rsidR="003B764C" w:rsidRDefault="00000000">
      <w:pPr>
        <w:pStyle w:val="Puntoelenco"/>
      </w:pPr>
      <w:r>
        <w:t>Aggiungi variabili esplicative come VIX, petrolio, tassi e cambio.</w:t>
      </w:r>
    </w:p>
    <w:p w14:paraId="7634D244" w14:textId="77777777" w:rsidR="003B764C" w:rsidRDefault="00000000">
      <w:pPr>
        <w:pStyle w:val="Puntoelenco"/>
      </w:pPr>
      <w:r>
        <w:t>Esempio: R_SP500 = alpha + beta1 R_Nasdaq + beta2 Delta VIX + beta3 R_Oil + beta4 Delta Yield10Y + errore.</w:t>
      </w:r>
    </w:p>
    <w:p w14:paraId="63737F06" w14:textId="77777777" w:rsidR="003B764C" w:rsidRDefault="00000000">
      <w:pPr>
        <w:pStyle w:val="Puntoelenco"/>
      </w:pPr>
      <w:r>
        <w:t>Così puoi distinguere diversi canali: equity/growth, risk aversion, energia e condizioni monetarie.</w:t>
      </w:r>
    </w:p>
    <w:p w14:paraId="60DD00FD" w14:textId="77777777" w:rsidR="003B764C" w:rsidRDefault="00000000">
      <w:pPr>
        <w:pStyle w:val="Titolo1"/>
      </w:pPr>
      <w:r>
        <w:t>8. Fare diagnostica del modello</w:t>
      </w:r>
    </w:p>
    <w:p w14:paraId="197BD4C3" w14:textId="77777777" w:rsidR="003B764C" w:rsidRDefault="00000000">
      <w:pPr>
        <w:pStyle w:val="Puntoelenco"/>
      </w:pPr>
      <w:r>
        <w:t>Controlla eteroschedasticità, autocorrelazione, normalità dei residui e multicollinearità.</w:t>
      </w:r>
    </w:p>
    <w:p w14:paraId="3E9DF111" w14:textId="77777777" w:rsidR="003B764C" w:rsidRDefault="00000000">
      <w:pPr>
        <w:pStyle w:val="Puntoelenco"/>
      </w:pPr>
      <w:r>
        <w:t>Nei dati finanziari sono frequenti errori non omoschedastici e autocorrelati: usa standard errors robusti o Newey-West.</w:t>
      </w:r>
    </w:p>
    <w:p w14:paraId="4C35E3CE" w14:textId="77777777" w:rsidR="003B764C" w:rsidRDefault="00000000">
      <w:pPr>
        <w:pStyle w:val="Titolo1"/>
      </w:pPr>
      <w:r>
        <w:t>9. Aggiungere analisi rolling</w:t>
      </w:r>
    </w:p>
    <w:p w14:paraId="4A712C61" w14:textId="77777777" w:rsidR="003B764C" w:rsidRDefault="00000000">
      <w:pPr>
        <w:pStyle w:val="Puntoelenco"/>
      </w:pPr>
      <w:r>
        <w:t>Calcola rolling volatility, rolling correlation e rolling beta su finestre mobili, ad esempio 252 giorni.</w:t>
      </w:r>
    </w:p>
    <w:p w14:paraId="72C05735" w14:textId="77777777" w:rsidR="003B764C" w:rsidRDefault="00000000">
      <w:pPr>
        <w:pStyle w:val="Puntoelenco"/>
      </w:pPr>
      <w:r>
        <w:t>Questo mostra come rischio e relazioni tra mercati cambiano nel tempo.</w:t>
      </w:r>
    </w:p>
    <w:p w14:paraId="57DE8184" w14:textId="77777777" w:rsidR="003B764C" w:rsidRDefault="00000000">
      <w:pPr>
        <w:pStyle w:val="Titolo1"/>
      </w:pPr>
      <w:r>
        <w:t>10. Interpretare economicamente i risultati</w:t>
      </w:r>
    </w:p>
    <w:p w14:paraId="0E1B8923" w14:textId="77777777" w:rsidR="003B764C" w:rsidRDefault="00000000">
      <w:pPr>
        <w:pStyle w:val="Puntoelenco"/>
      </w:pPr>
      <w:r>
        <w:t>Non fermarti a p-value e R-quadro.</w:t>
      </w:r>
    </w:p>
    <w:p w14:paraId="5168B192" w14:textId="77777777" w:rsidR="003B764C" w:rsidRDefault="00000000">
      <w:pPr>
        <w:pStyle w:val="Puntoelenco"/>
      </w:pPr>
      <w:r>
        <w:t>Spiega il segno, la dimensione e il significato economico dei coefficienti.</w:t>
      </w:r>
    </w:p>
    <w:p w14:paraId="38710E2C" w14:textId="77777777" w:rsidR="003B764C" w:rsidRDefault="00000000">
      <w:pPr>
        <w:pStyle w:val="Puntoelenco"/>
      </w:pPr>
      <w:r>
        <w:t>Esempio: se beta del Nasdaq è 0,80, un +1% del Nasdaq è associato in media a un +0,80% dello S&amp;P 500, ceteris paribus.</w:t>
      </w:r>
    </w:p>
    <w:p w14:paraId="6439898B" w14:textId="77777777" w:rsidR="003B764C" w:rsidRDefault="00000000">
      <w:r>
        <w:br w:type="page"/>
      </w:r>
    </w:p>
    <w:p w14:paraId="0E5E985A" w14:textId="77777777" w:rsidR="003B764C" w:rsidRDefault="00000000">
      <w:pPr>
        <w:pStyle w:val="Titolo1"/>
      </w:pPr>
      <w:r>
        <w:lastRenderedPageBreak/>
        <w:t>Struttura consigliata del progetto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3B764C" w14:paraId="5D457072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5E077C07" w14:textId="77777777" w:rsidR="003B764C" w:rsidRDefault="00000000">
            <w:pPr>
              <w:spacing w:after="0"/>
            </w:pPr>
            <w:r>
              <w:rPr>
                <w:b/>
                <w:color w:val="FFFFFF"/>
              </w:rPr>
              <w:t>Sezione</w:t>
            </w:r>
          </w:p>
        </w:tc>
        <w:tc>
          <w:tcPr>
            <w:tcW w:w="5040" w:type="dxa"/>
            <w:shd w:val="clear" w:color="auto" w:fill="1F4E79"/>
          </w:tcPr>
          <w:p w14:paraId="602DEF62" w14:textId="77777777" w:rsidR="003B764C" w:rsidRDefault="00000000">
            <w:pPr>
              <w:spacing w:after="0"/>
            </w:pPr>
            <w:r>
              <w:rPr>
                <w:b/>
                <w:color w:val="FFFFFF"/>
              </w:rPr>
              <w:t>Contenuto</w:t>
            </w:r>
          </w:p>
        </w:tc>
      </w:tr>
      <w:tr w:rsidR="003B764C" w14:paraId="467AF7F2" w14:textId="77777777">
        <w:trPr>
          <w:jc w:val="center"/>
        </w:trPr>
        <w:tc>
          <w:tcPr>
            <w:tcW w:w="5040" w:type="dxa"/>
          </w:tcPr>
          <w:p w14:paraId="4BF7AA31" w14:textId="77777777" w:rsidR="003B764C" w:rsidRDefault="00000000">
            <w:pPr>
              <w:spacing w:after="0"/>
            </w:pPr>
            <w:r>
              <w:t>Introduzione</w:t>
            </w:r>
          </w:p>
        </w:tc>
        <w:tc>
          <w:tcPr>
            <w:tcW w:w="5040" w:type="dxa"/>
          </w:tcPr>
          <w:p w14:paraId="7748FF67" w14:textId="77777777" w:rsidR="003B764C" w:rsidRDefault="00000000">
            <w:pPr>
              <w:spacing w:after="0"/>
            </w:pPr>
            <w:r>
              <w:t>Obiettivo dell’analisi, periodo, mercati considerati e motivazione economica.</w:t>
            </w:r>
          </w:p>
        </w:tc>
      </w:tr>
      <w:tr w:rsidR="003B764C" w14:paraId="0254B291" w14:textId="77777777">
        <w:trPr>
          <w:jc w:val="center"/>
        </w:trPr>
        <w:tc>
          <w:tcPr>
            <w:tcW w:w="5040" w:type="dxa"/>
          </w:tcPr>
          <w:p w14:paraId="7686DD8C" w14:textId="77777777" w:rsidR="003B764C" w:rsidRDefault="00000000">
            <w:pPr>
              <w:spacing w:after="0"/>
            </w:pPr>
            <w:r>
              <w:t>Dati</w:t>
            </w:r>
          </w:p>
        </w:tc>
        <w:tc>
          <w:tcPr>
            <w:tcW w:w="5040" w:type="dxa"/>
          </w:tcPr>
          <w:p w14:paraId="2EEE2D82" w14:textId="77777777" w:rsidR="003B764C" w:rsidRDefault="00000000">
            <w:pPr>
              <w:spacing w:after="0"/>
            </w:pPr>
            <w:r>
              <w:t>Fonte dati, ticker utilizzati, frequenza, prezzi adjusted e trasformazione in rendimenti.</w:t>
            </w:r>
          </w:p>
        </w:tc>
      </w:tr>
      <w:tr w:rsidR="003B764C" w14:paraId="13B7CD18" w14:textId="77777777">
        <w:trPr>
          <w:jc w:val="center"/>
        </w:trPr>
        <w:tc>
          <w:tcPr>
            <w:tcW w:w="5040" w:type="dxa"/>
          </w:tcPr>
          <w:p w14:paraId="06530C18" w14:textId="77777777" w:rsidR="003B764C" w:rsidRDefault="00000000">
            <w:pPr>
              <w:spacing w:after="0"/>
            </w:pPr>
            <w:r>
              <w:t>Analisi descrittiva</w:t>
            </w:r>
          </w:p>
        </w:tc>
        <w:tc>
          <w:tcPr>
            <w:tcW w:w="5040" w:type="dxa"/>
          </w:tcPr>
          <w:p w14:paraId="3B0396AA" w14:textId="77777777" w:rsidR="003B764C" w:rsidRDefault="00000000">
            <w:pPr>
              <w:spacing w:after="0"/>
            </w:pPr>
            <w:r>
              <w:t>Performance, volatilità, max drawdown, correlazioni e principali grafici.</w:t>
            </w:r>
          </w:p>
        </w:tc>
      </w:tr>
      <w:tr w:rsidR="003B764C" w14:paraId="01F81DB1" w14:textId="77777777">
        <w:trPr>
          <w:jc w:val="center"/>
        </w:trPr>
        <w:tc>
          <w:tcPr>
            <w:tcW w:w="5040" w:type="dxa"/>
          </w:tcPr>
          <w:p w14:paraId="0D43D801" w14:textId="77777777" w:rsidR="003B764C" w:rsidRDefault="00000000">
            <w:pPr>
              <w:spacing w:after="0"/>
            </w:pPr>
            <w:r>
              <w:t>Modelli di regressione</w:t>
            </w:r>
          </w:p>
        </w:tc>
        <w:tc>
          <w:tcPr>
            <w:tcW w:w="5040" w:type="dxa"/>
          </w:tcPr>
          <w:p w14:paraId="7EC2605F" w14:textId="77777777" w:rsidR="003B764C" w:rsidRDefault="00000000">
            <w:pPr>
              <w:spacing w:after="0"/>
            </w:pPr>
            <w:r>
              <w:t>Regressione semplice, modello multifattoriale, eventuale CAPM o rolling beta.</w:t>
            </w:r>
          </w:p>
        </w:tc>
      </w:tr>
      <w:tr w:rsidR="003B764C" w14:paraId="2029ECD1" w14:textId="77777777">
        <w:trPr>
          <w:jc w:val="center"/>
        </w:trPr>
        <w:tc>
          <w:tcPr>
            <w:tcW w:w="5040" w:type="dxa"/>
          </w:tcPr>
          <w:p w14:paraId="2697C879" w14:textId="77777777" w:rsidR="003B764C" w:rsidRDefault="00000000">
            <w:pPr>
              <w:spacing w:after="0"/>
            </w:pPr>
            <w:r>
              <w:t>Diagnostica</w:t>
            </w:r>
          </w:p>
        </w:tc>
        <w:tc>
          <w:tcPr>
            <w:tcW w:w="5040" w:type="dxa"/>
          </w:tcPr>
          <w:p w14:paraId="27F29424" w14:textId="77777777" w:rsidR="003B764C" w:rsidRDefault="00000000">
            <w:pPr>
              <w:spacing w:after="0"/>
            </w:pPr>
            <w:r>
              <w:t>Test su residui, eteroschedasticità, autocorrelazione e standard errors robusti.</w:t>
            </w:r>
          </w:p>
        </w:tc>
      </w:tr>
      <w:tr w:rsidR="003B764C" w14:paraId="6807765F" w14:textId="77777777">
        <w:trPr>
          <w:jc w:val="center"/>
        </w:trPr>
        <w:tc>
          <w:tcPr>
            <w:tcW w:w="5040" w:type="dxa"/>
          </w:tcPr>
          <w:p w14:paraId="036EC933" w14:textId="77777777" w:rsidR="003B764C" w:rsidRDefault="00000000">
            <w:pPr>
              <w:spacing w:after="0"/>
            </w:pPr>
            <w:r>
              <w:t>Conclusione</w:t>
            </w:r>
          </w:p>
        </w:tc>
        <w:tc>
          <w:tcPr>
            <w:tcW w:w="5040" w:type="dxa"/>
          </w:tcPr>
          <w:p w14:paraId="4C2950A4" w14:textId="77777777" w:rsidR="003B764C" w:rsidRDefault="00000000">
            <w:pPr>
              <w:spacing w:after="0"/>
            </w:pPr>
            <w:r>
              <w:t>Risultati principali, interpretazione economica, limiti e possibili estensioni.</w:t>
            </w:r>
          </w:p>
        </w:tc>
      </w:tr>
    </w:tbl>
    <w:p w14:paraId="01550FB4" w14:textId="77777777" w:rsidR="003B764C" w:rsidRDefault="00000000">
      <w:pPr>
        <w:pStyle w:val="Titolo1"/>
      </w:pPr>
      <w:r>
        <w:t>Pacchetti R utili</w:t>
      </w:r>
    </w:p>
    <w:p w14:paraId="3748232A" w14:textId="77777777" w:rsidR="003B764C" w:rsidRDefault="00000000">
      <w:pPr>
        <w:pStyle w:val="CodeBlock"/>
      </w:pPr>
      <w:r>
        <w:t>library(quantmod)</w:t>
      </w:r>
    </w:p>
    <w:p w14:paraId="6579D3A1" w14:textId="77777777" w:rsidR="003B764C" w:rsidRDefault="00000000">
      <w:pPr>
        <w:pStyle w:val="CodeBlock"/>
      </w:pPr>
      <w:r>
        <w:t>library(PerformanceAnalytics)</w:t>
      </w:r>
    </w:p>
    <w:p w14:paraId="0DB8B6D6" w14:textId="77777777" w:rsidR="003B764C" w:rsidRDefault="00000000">
      <w:pPr>
        <w:pStyle w:val="CodeBlock"/>
      </w:pPr>
      <w:r>
        <w:t>library(tidyverse)</w:t>
      </w:r>
    </w:p>
    <w:p w14:paraId="024AE013" w14:textId="77777777" w:rsidR="003B764C" w:rsidRDefault="00000000">
      <w:pPr>
        <w:pStyle w:val="CodeBlock"/>
      </w:pPr>
      <w:r>
        <w:t>library(zoo)</w:t>
      </w:r>
    </w:p>
    <w:p w14:paraId="0D82F273" w14:textId="77777777" w:rsidR="003B764C" w:rsidRDefault="00000000">
      <w:pPr>
        <w:pStyle w:val="CodeBlock"/>
      </w:pPr>
      <w:r>
        <w:t>library(lmtest)</w:t>
      </w:r>
    </w:p>
    <w:p w14:paraId="739BEC6F" w14:textId="77777777" w:rsidR="003B764C" w:rsidRDefault="00000000">
      <w:pPr>
        <w:pStyle w:val="CodeBlock"/>
      </w:pPr>
      <w:r>
        <w:t>library(sandwich)</w:t>
      </w:r>
    </w:p>
    <w:p w14:paraId="3FCA5A2E" w14:textId="77777777" w:rsidR="003B764C" w:rsidRDefault="00000000">
      <w:pPr>
        <w:pStyle w:val="Titolo1"/>
      </w:pPr>
      <w:r>
        <w:t>Mini-scheletro operativo in R</w:t>
      </w:r>
    </w:p>
    <w:p w14:paraId="50F27A4A" w14:textId="77777777" w:rsidR="003B764C" w:rsidRDefault="00000000">
      <w:pPr>
        <w:pStyle w:val="CodeBlock"/>
      </w:pPr>
      <w:r>
        <w:t>getSymbols(c("^GSPC", "^IXIC", "^VIX"), src = "yahoo", from = "2015-01-01")</w:t>
      </w:r>
    </w:p>
    <w:p w14:paraId="014A5216" w14:textId="77777777" w:rsidR="003B764C" w:rsidRDefault="00000000">
      <w:pPr>
        <w:pStyle w:val="CodeBlock"/>
      </w:pPr>
      <w:r>
        <w:t>sp500_ret  &lt;- na.omit(Return.calculate(Ad(GSPC), method = "log"))</w:t>
      </w:r>
    </w:p>
    <w:p w14:paraId="1B3BCA5F" w14:textId="77777777" w:rsidR="003B764C" w:rsidRDefault="00000000">
      <w:pPr>
        <w:pStyle w:val="CodeBlock"/>
      </w:pPr>
      <w:r>
        <w:t>nasdaq_ret &lt;- na.omit(Return.calculate(Ad(IXIC), method = "log"))</w:t>
      </w:r>
    </w:p>
    <w:p w14:paraId="5FCF50B7" w14:textId="77777777" w:rsidR="003B764C" w:rsidRDefault="00000000">
      <w:pPr>
        <w:pStyle w:val="CodeBlock"/>
      </w:pPr>
      <w:r>
        <w:t>vix_chg    &lt;- na.omit(Return.calculate(Ad(VIX), method = "log"))</w:t>
      </w:r>
    </w:p>
    <w:p w14:paraId="2F585649" w14:textId="77777777" w:rsidR="003B764C" w:rsidRDefault="003B764C">
      <w:pPr>
        <w:pStyle w:val="CodeBlock"/>
      </w:pPr>
    </w:p>
    <w:p w14:paraId="6AF2E990" w14:textId="77777777" w:rsidR="003B764C" w:rsidRDefault="00000000">
      <w:pPr>
        <w:pStyle w:val="CodeBlock"/>
      </w:pPr>
      <w:r>
        <w:t>returns &lt;- na.omit(merge(sp500_ret, nasdaq_ret, vix_chg))</w:t>
      </w:r>
    </w:p>
    <w:p w14:paraId="03F71840" w14:textId="77777777" w:rsidR="003B764C" w:rsidRDefault="00000000">
      <w:pPr>
        <w:pStyle w:val="CodeBlock"/>
      </w:pPr>
      <w:r>
        <w:t>colnames(returns) &lt;- c("SP500", "Nasdaq", "VIX")</w:t>
      </w:r>
    </w:p>
    <w:p w14:paraId="396A081F" w14:textId="77777777" w:rsidR="003B764C" w:rsidRDefault="003B764C">
      <w:pPr>
        <w:pStyle w:val="CodeBlock"/>
      </w:pPr>
    </w:p>
    <w:p w14:paraId="33C661EF" w14:textId="77777777" w:rsidR="003B764C" w:rsidRDefault="00000000">
      <w:pPr>
        <w:pStyle w:val="CodeBlock"/>
      </w:pPr>
      <w:r>
        <w:t>charts.PerformanceSummary(returns)</w:t>
      </w:r>
    </w:p>
    <w:p w14:paraId="5CA7CB0A" w14:textId="77777777" w:rsidR="003B764C" w:rsidRDefault="00000000">
      <w:pPr>
        <w:pStyle w:val="CodeBlock"/>
      </w:pPr>
      <w:r>
        <w:t>maxDrawdown(returns)</w:t>
      </w:r>
    </w:p>
    <w:p w14:paraId="2C2527D5" w14:textId="77777777" w:rsidR="003B764C" w:rsidRDefault="00000000">
      <w:pPr>
        <w:pStyle w:val="CodeBlock"/>
      </w:pPr>
      <w:r>
        <w:t>table.AnnualizedReturns(returns)</w:t>
      </w:r>
    </w:p>
    <w:p w14:paraId="2875F11E" w14:textId="77777777" w:rsidR="003B764C" w:rsidRDefault="003B764C">
      <w:pPr>
        <w:pStyle w:val="CodeBlock"/>
      </w:pPr>
    </w:p>
    <w:p w14:paraId="4FAFE477" w14:textId="77777777" w:rsidR="003B764C" w:rsidRDefault="00000000">
      <w:pPr>
        <w:pStyle w:val="CodeBlock"/>
      </w:pPr>
      <w:r>
        <w:t>model &lt;- lm(SP500 ~ Nasdaq + VIX, data = as.data.frame(returns))</w:t>
      </w:r>
    </w:p>
    <w:p w14:paraId="29DC7788" w14:textId="77777777" w:rsidR="003B764C" w:rsidRDefault="00000000">
      <w:pPr>
        <w:pStyle w:val="CodeBlock"/>
      </w:pPr>
      <w:r>
        <w:t>summary(model)</w:t>
      </w:r>
    </w:p>
    <w:p w14:paraId="09E26F21" w14:textId="77777777" w:rsidR="003B764C" w:rsidRDefault="00000000">
      <w:pPr>
        <w:pStyle w:val="CodeBlock"/>
      </w:pPr>
      <w:r>
        <w:t>coeftest(model, vcov = NeweyWest(model))</w:t>
      </w:r>
    </w:p>
    <w:p w14:paraId="4ECE0CD8" w14:textId="77777777" w:rsidR="003B764C" w:rsidRDefault="00000000">
      <w:pPr>
        <w:pStyle w:val="Titolo1"/>
      </w:pPr>
      <w:r>
        <w:t>Checklist finale</w:t>
      </w:r>
    </w:p>
    <w:p w14:paraId="51CF9BBA" w14:textId="77777777" w:rsidR="003B764C" w:rsidRDefault="00000000">
      <w:pPr>
        <w:pStyle w:val="Puntoelenco"/>
      </w:pPr>
      <w:r>
        <w:t>Dati scaricati e puliti correttamente.</w:t>
      </w:r>
    </w:p>
    <w:p w14:paraId="2495FF92" w14:textId="77777777" w:rsidR="003B764C" w:rsidRDefault="00000000">
      <w:pPr>
        <w:pStyle w:val="Puntoelenco"/>
      </w:pPr>
      <w:r>
        <w:lastRenderedPageBreak/>
        <w:t>Prezzi trasformati in rendimenti.</w:t>
      </w:r>
    </w:p>
    <w:p w14:paraId="297A4514" w14:textId="77777777" w:rsidR="003B764C" w:rsidRDefault="00000000">
      <w:pPr>
        <w:pStyle w:val="Puntoelenco"/>
      </w:pPr>
      <w:r>
        <w:t>Indicatori di rischio e performance calcolati.</w:t>
      </w:r>
    </w:p>
    <w:p w14:paraId="52B8DD37" w14:textId="77777777" w:rsidR="003B764C" w:rsidRDefault="00000000">
      <w:pPr>
        <w:pStyle w:val="Puntoelenco"/>
      </w:pPr>
      <w:r>
        <w:t>Grafici principali inseriti e commentati.</w:t>
      </w:r>
    </w:p>
    <w:p w14:paraId="190B75BA" w14:textId="77777777" w:rsidR="003B764C" w:rsidRDefault="00000000">
      <w:pPr>
        <w:pStyle w:val="Puntoelenco"/>
      </w:pPr>
      <w:r>
        <w:t>Regressioni stimate e interpretate.</w:t>
      </w:r>
    </w:p>
    <w:p w14:paraId="67B025E0" w14:textId="77777777" w:rsidR="003B764C" w:rsidRDefault="00000000">
      <w:pPr>
        <w:pStyle w:val="Puntoelenco"/>
      </w:pPr>
      <w:r>
        <w:t>Diagnostica del modello effettuata.</w:t>
      </w:r>
    </w:p>
    <w:p w14:paraId="6BAA0340" w14:textId="77777777" w:rsidR="003B764C" w:rsidRDefault="00000000">
      <w:pPr>
        <w:pStyle w:val="Puntoelenco"/>
      </w:pPr>
      <w:r>
        <w:t>Conclusioni collegate alla domanda iniziale.</w:t>
      </w:r>
    </w:p>
    <w:sectPr w:rsidR="003B764C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B623F" w14:textId="77777777" w:rsidR="00491B05" w:rsidRDefault="00491B05">
      <w:pPr>
        <w:spacing w:after="0" w:line="240" w:lineRule="auto"/>
      </w:pPr>
      <w:r>
        <w:separator/>
      </w:r>
    </w:p>
  </w:endnote>
  <w:endnote w:type="continuationSeparator" w:id="0">
    <w:p w14:paraId="686D23E0" w14:textId="77777777" w:rsidR="00491B05" w:rsidRDefault="0049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158E3" w14:textId="77777777" w:rsidR="003B764C" w:rsidRPr="00422982" w:rsidRDefault="00000000">
    <w:pPr>
      <w:pStyle w:val="Pidipagina"/>
      <w:jc w:val="center"/>
      <w:rPr>
        <w:lang w:val="it-IT"/>
      </w:rPr>
    </w:pPr>
    <w:r w:rsidRPr="00422982">
      <w:rPr>
        <w:color w:val="646464"/>
        <w:sz w:val="16"/>
        <w:lang w:val="it-IT"/>
      </w:rPr>
      <w:t>Analisi di mercato azionario con R - Schema operativo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E688C" w14:textId="77777777" w:rsidR="00491B05" w:rsidRDefault="00491B05">
      <w:pPr>
        <w:spacing w:after="0" w:line="240" w:lineRule="auto"/>
      </w:pPr>
      <w:r>
        <w:separator/>
      </w:r>
    </w:p>
  </w:footnote>
  <w:footnote w:type="continuationSeparator" w:id="0">
    <w:p w14:paraId="13DFA5A7" w14:textId="77777777" w:rsidR="00491B05" w:rsidRDefault="00491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254626">
    <w:abstractNumId w:val="8"/>
  </w:num>
  <w:num w:numId="2" w16cid:durableId="1506356198">
    <w:abstractNumId w:val="6"/>
  </w:num>
  <w:num w:numId="3" w16cid:durableId="122894624">
    <w:abstractNumId w:val="5"/>
  </w:num>
  <w:num w:numId="4" w16cid:durableId="500196597">
    <w:abstractNumId w:val="4"/>
  </w:num>
  <w:num w:numId="5" w16cid:durableId="261423838">
    <w:abstractNumId w:val="7"/>
  </w:num>
  <w:num w:numId="6" w16cid:durableId="170149105">
    <w:abstractNumId w:val="3"/>
  </w:num>
  <w:num w:numId="7" w16cid:durableId="645161765">
    <w:abstractNumId w:val="2"/>
  </w:num>
  <w:num w:numId="8" w16cid:durableId="124005440">
    <w:abstractNumId w:val="1"/>
  </w:num>
  <w:num w:numId="9" w16cid:durableId="40241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764C"/>
    <w:rsid w:val="00422982"/>
    <w:rsid w:val="00491B05"/>
    <w:rsid w:val="004A1C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FF9E3C"/>
  <w14:defaultImageDpi w14:val="300"/>
  <w15:docId w15:val="{C4396BFA-F462-4912-BF98-D2E7262D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00"/>
    </w:pPr>
    <w:rPr>
      <w:rFonts w:ascii="Aptos" w:eastAsia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88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MATTEO LUPI</cp:lastModifiedBy>
  <cp:revision>2</cp:revision>
  <dcterms:created xsi:type="dcterms:W3CDTF">2026-07-07T19:53:00Z</dcterms:created>
  <dcterms:modified xsi:type="dcterms:W3CDTF">2026-07-07T19:53:00Z</dcterms:modified>
  <cp:category/>
</cp:coreProperties>
</file>