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dd36a9dad7b14431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4000"/>
      </w:pPr>
    </w:p>
    <w:p>
      <w:pPr>
        <w:spacing w:after="200"/>
        <w:jc w:val="center"/>
      </w:pPr>
      <w:r>
        <w:rPr>
          <w:rFonts w:ascii="Calibri" w:hAnsi="Calibri" w:eastAsia="Microsoft YaHei"/>
          <w:b/>
          <w:color w:val="1565C0"/>
          <w:sz w:val="72"/>
        </w:rPr>
        <w:t xml:space="preserve">工业通讯协议</w:t>
      </w:r>
    </w:p>
    <w:p>
      <w:pPr>
        <w:spacing w:after="600"/>
        <w:jc w:val="center"/>
      </w:pPr>
      <w:r>
        <w:rPr>
          <w:rFonts w:ascii="Calibri" w:hAnsi="Calibri" w:eastAsia="Microsoft YaHei"/>
          <w:b/>
          <w:color w:val="00838F"/>
          <w:sz w:val="56"/>
        </w:rPr>
        <w:t xml:space="preserve">完全指南</w:t>
      </w:r>
    </w:p>
    <w:p>
      <w:pPr>
        <w:spacing w:after="3000"/>
        <w:jc w:val="center"/>
      </w:pPr>
      <w:r>
        <w:rPr>
          <w:rFonts w:ascii="Calibri" w:hAnsi="Calibri" w:eastAsia="Microsoft YaHei"/>
          <w:color w:val="546E7A"/>
          <w:sz w:val="24"/>
        </w:rPr>
        <w:t xml:space="preserve">协议原理、源码实现与操作指南</w:t>
      </w:r>
    </w:p>
    <w:p>
      <w:pPr>
        <w:jc w:val="center"/>
      </w:pPr>
      <w:r>
        <w:rPr>
          <w:rFonts w:ascii="Calibri" w:hAnsi="Calibri" w:eastAsia="Microsoft YaHei"/>
          <w:color w:val="90A4AE"/>
          <w:sz w:val="20"/>
        </w:rPr>
        <w:t xml:space="preserve">2025年6月 | 技术参考文档</w:t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目录</w:t>
      </w:r>
    </w:p>
    <w:p>
      <w:r>
        <w:rPr>
          <w:rFonts w:ascii="Calibri" w:hAnsi="Calibri" w:eastAsia="Microsoft YaHei"/>
          <w:color w:val="90A4AE"/>
          <w:sz w:val="18"/>
        </w:rPr>
        <w:t xml:space="preserve">（右键目录，选择"更新域"刷新页码）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一、工业通讯协议概述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1.1 通讯协议分类体系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1.2 OSI参考模型与工业协议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二、现场总线协议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2.1 PROFIBUS协议族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2.2 CAN总线与CANopen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2.3 Modbus协议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2.4 CC-Link协议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2.5 HART协议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三、工业以太网协议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3.1 EtherNet/IP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3.2 PROFINET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3.3 EtherCAT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3.4 时间敏感网络TSN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四、工业无线通讯协议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4.1 WirelessHART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4.2 ISA100.11a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五、工业物联网协议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5.1 MQTT协议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5.2 OPC UA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六、PLC通讯与自由口协议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6.1 西门子S7通讯协议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2"/>
      </w:pPr>
      <w:r>
        <w:rPr>
          <w:rFonts w:ascii="Calibri" w:hAnsi="Calibri" w:eastAsia="Microsoft YaHei"/>
          <w:sz w:val="21"/>
        </w:rPr>
        <w:t xml:space="preserve">6.2 自由口通讯模式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七、协议对比与选型指南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pPr>
        <w:pStyle w:val="TOC1"/>
      </w:pPr>
      <w:r>
        <w:rPr>
          <w:rFonts w:ascii="Calibri" w:hAnsi="Calibri" w:eastAsia="Microsoft YaHei"/>
          <w:b/>
          <w:sz w:val="21"/>
        </w:rPr>
        <w:t xml:space="preserve">八、开源资源与源码实现</w:t>
      </w:r>
      <w:r>
        <w:tab/>
      </w:r>
      <w:r>
        <w:rPr>
          <w:rFonts w:ascii="Calibri" w:hAnsi="Calibri" w:eastAsia="Microsoft YaHei"/>
          <w:sz w:val="21"/>
        </w:rPr>
        <w:t xml:space="preserve">1</w:t>
      </w:r>
    </w:p>
    <w:p>
      <w:r>
        <w:fldChar w:fldCharType="end"/>
      </w:r>
    </w:p>
    <w:p>
      <w:pPr>
        <w:sectPr>
          <w:type w:val="nextPage"/>
          <w:pgSz w:w="11906" w:h="16838"/>
          <w:pgMar w:top="1800" w:right="1440" w:bottom="1440" w:left="1440" w:header="720" w:footer="720"/>
        </w:sectPr>
      </w:pPr>
    </w:p>
    <w:p>
      <w:pPr>
        <w:pStyle w:val="Heading1"/>
      </w:pPr>
      <w:r>
        <w:t>一、工业通讯协议概述</w:t>
      </w:r>
    </w:p>
    <w:p>
      <w:r>
        <w:t>工业通讯协议是工业自动化系统的神经系统，负责在传感器、执行器、控制器、人机界面和上层管理系统之间传输数据。随着工业4.0和智能制造的推进，工业通讯协议正经历着从传统现场总线向工业以太网、从有线向无线、从封闭向开放的重要转变。本指南将系统性地介绍目前工业领域使用的所有主流通讯协议，涵盖协议原理、技术参数、配置步骤和源码实现。</w:t>
      </w:r>
    </w:p>
    <w:p>
      <w:pPr>
        <w:pStyle w:val="Heading2"/>
      </w:pPr>
      <w:r>
        <w:t>1.1 通讯协议分类体系</w:t>
      </w:r>
    </w:p>
    <w:p>
      <w:r>
        <w:t>工业通讯协议按照不同的维度可以进行多种分类。按物理介质可分为有线协议和无线协议；按通讯层次可分为现场总线、工业以太网和工业无线；按应用领域可分为工厂自动化、过程自动化和运动控制协议。本文采用层次化分类法，将工业通讯协议分为以下五大类：</w:t>
      </w:r>
    </w:p>
    <w:p>
      <w:pPr>
        <w:numPr>
          <w:ilvl w:val="0"/>
          <w:numId w:val="1"/>
        </w:numPr>
        <w:ind w:firstLine="0"/>
      </w:pPr>
      <w:r>
        <w:t>现场总线协议：PROFIBUS、CAN/CANopen、DeviceNet、Modbus RTU、CC-Link、HART等</w:t>
      </w:r>
    </w:p>
    <w:p>
      <w:pPr>
        <w:numPr>
          <w:ilvl w:val="0"/>
          <w:numId w:val="1"/>
        </w:numPr>
        <w:ind w:firstLine="0"/>
      </w:pPr>
      <w:r>
        <w:t>工业以太网协议：EtherNet/IP、PROFINET、EtherCAT、POWERLINK、Sercos III、TSN等</w:t>
      </w:r>
    </w:p>
    <w:p>
      <w:pPr>
        <w:numPr>
          <w:ilvl w:val="0"/>
          <w:numId w:val="1"/>
        </w:numPr>
        <w:ind w:firstLine="0"/>
      </w:pPr>
      <w:r>
        <w:t>工业无线协议：WirelessHART、ISA100.11a、WIA-PA、5G URLLC等</w:t>
      </w:r>
    </w:p>
    <w:p>
      <w:pPr>
        <w:numPr>
          <w:ilvl w:val="0"/>
          <w:numId w:val="1"/>
        </w:numPr>
        <w:ind w:firstLine="0"/>
      </w:pPr>
      <w:r>
        <w:t>工业物联网协议：MQTT、OPC UA、DDS等</w:t>
      </w:r>
    </w:p>
    <w:p>
      <w:pPr>
        <w:numPr>
          <w:ilvl w:val="0"/>
          <w:numId w:val="1"/>
        </w:numPr>
        <w:ind w:firstLine="0"/>
      </w:pPr>
      <w:r>
        <w:t>PLC专用协议：西门子S7Comm/S7CommPlus、三菱MC协议、欧姆龙Fins、自由口通讯等</w:t>
      </w:r>
    </w:p>
    <w:p>
      <w:pPr>
        <w:pStyle w:val="Heading2"/>
      </w:pPr>
      <w:r>
        <w:t>1.2 OSI参考模型与工业协议</w:t>
      </w:r>
    </w:p>
    <w:p>
      <w:r>
        <w:t>OSI（Open Systems Interconnection）参考模型将网络通信分为七层。工业通讯协议通常只使用其中的部分层次。现场总线协议多采用物理层、数据链路层和应用层的三层结构；工业以太网协议则基于标准的以太网物理层和数据链路层，在传输层之上构建应用层协议；而MQTT和OPC UA等物联网协议则主要关注应用层，可运行在TCP/IP等多种传输层之上。理解各协议在OSI模型中的定位，有助于工程师在不同场景下选择合适的通讯方案。</w:t>
      </w:r>
    </w:p>
    <w:p>
      <w:pPr>
        <w:pStyle w:val="Heading1"/>
      </w:pPr>
      <w:r>
        <w:t>二、现场总线协议</w:t>
      </w:r>
    </w:p>
    <w:p>
      <w:r>
        <w:t>现场总线（Fieldbus）是连接工业现场设备和控制系统的数字通信网络，出现于20世纪80年代末期。它取代了传统的4-20mA模拟信号，实现了全数字化的双向通信。现场总线协议通常具有实时性强、可靠性高、布线简单、成本低等特点，至今仍在大量工业现场服役。</w:t>
      </w:r>
    </w:p>
    <w:p>
      <w:pPr>
        <w:pStyle w:val="Heading2"/>
      </w:pPr>
      <w:r>
        <w:t>2.1 PROFIBUS协议族</w:t>
      </w:r>
    </w:p>
    <w:p>
      <w:r>
        <w:t>PROFIBUS（Process Field Bus）是目前应用最广泛的现场总线标准之一，由西门子主导开发，现由PROFIBUS用户组织（PNO）管理。PROFIBUS包含三个主要版本：PROFIBUS DP（分布式外设，用于工厂自动化）、PROFIBUS PA（过程自动化，适用于防爆场合）和PROFIBUS FMS（现场总线报文规范，已基本淘汰）。</w:t>
      </w:r>
    </w:p>
    <w:p>
      <w:r>
        <w:t>PROFIBUS DP采用主从架构，最高传输速率可达12Mbps，单段最大电缆长度为100-1200米（取决于波特率），通过中继器可扩展到更长距离。一个DP网络最多支持126个站地址。PROFIBUS使用RS-485物理层，采用不归零编码（NRZ）。PROFIBUS PA则基于IEC 61158-2标准的物理层，可在同一根总线上传输数据和供电（两线制），最高传输速率为31.25kbps，适用于危险区域的本安防爆场合。</w:t>
      </w:r>
    </w:p>
    <w:p>
      <w:pPr>
        <w:pStyle w:val="Heading3"/>
      </w:pPr>
      <w:r>
        <w:t>PROFIBUS配置步骤</w:t>
      </w:r>
    </w:p>
    <w:p>
      <w:pPr>
        <w:numPr>
          <w:ilvl w:val="0"/>
          <w:numId w:val="1"/>
        </w:numPr>
        <w:ind w:firstLine="0"/>
      </w:pPr>
      <w:r>
        <w:t>获取从站设备的GSD（Generic Station Description）文件</w:t>
      </w:r>
    </w:p>
    <w:p>
      <w:pPr>
        <w:numPr>
          <w:ilvl w:val="0"/>
          <w:numId w:val="1"/>
        </w:numPr>
        <w:ind w:firstLine="0"/>
      </w:pPr>
      <w:r>
        <w:t>在STEP 7或其他组态软件中导入GSD文件</w:t>
      </w:r>
    </w:p>
    <w:p>
      <w:pPr>
        <w:numPr>
          <w:ilvl w:val="0"/>
          <w:numId w:val="1"/>
        </w:numPr>
        <w:ind w:firstLine="0"/>
      </w:pPr>
      <w:r>
        <w:t>配置主站参数：站地址、波特率、从站列表</w:t>
      </w:r>
    </w:p>
    <w:p>
      <w:pPr>
        <w:numPr>
          <w:ilvl w:val="0"/>
          <w:numId w:val="1"/>
        </w:numPr>
        <w:ind w:firstLine="0"/>
      </w:pPr>
      <w:r>
        <w:t>为每个从站配置输入/输出字节数和映射关系</w:t>
      </w:r>
    </w:p>
    <w:p>
      <w:pPr>
        <w:numPr>
          <w:ilvl w:val="0"/>
          <w:numId w:val="1"/>
        </w:numPr>
        <w:ind w:firstLine="0"/>
      </w:pPr>
      <w:r>
        <w:t>设置看门狗时间和诊断参数</w:t>
      </w:r>
    </w:p>
    <w:p>
      <w:pPr>
        <w:numPr>
          <w:ilvl w:val="0"/>
          <w:numId w:val="1"/>
        </w:numPr>
        <w:ind w:firstLine="0"/>
      </w:pPr>
      <w:r>
        <w:t>编译配置并下载到主站PLC</w:t>
      </w:r>
    </w:p>
    <w:p>
      <w:pPr>
        <w:pStyle w:val="Heading2"/>
      </w:pPr>
      <w:r>
        <w:t>2.2 CAN总线与CANopen</w:t>
      </w:r>
    </w:p>
    <w:p>
      <w:r>
        <w:t>CAN（Controller Area Network）总线最初由博世公司为汽车电子系统开发，现已成为工业自动化领域最常用的现场总线之一。CAN总线采用差分信号传输，最高速率1Mbps（40米距离），最长传输距离可达10km（5kbps）。CAN支持多主通信，使用非破坏性的位仲裁机制（CSMA/CA+NDA）解决总线冲突，具有高可靠性和实时性。</w:t>
      </w:r>
    </w:p>
    <w:p>
      <w:r>
        <w:t>CANopen是在CAN总线之上定义的高层协议，由CiA（CAN in Automation）组织维护。CANopen定义了标准的对象字典（OD，Object Dictionary），包含通信参数（索引0x1000-0x1FFF）和制造商特定参数（索引0x2000-0x9FFF）。CANopen使用SDO（服务数据对象，索引报文）进行参数配置，使用PDO（过程数据对象，过程报文）进行实时数据传输。PDO分为TPDO（发送PDO）和RPDO（接收PDO），每个节点最多可配置4个TPDO和4个RPDO。</w:t>
      </w:r>
    </w:p>
    <w:p>
      <w:pPr>
        <w:pStyle w:val="Heading3"/>
      </w:pPr>
      <w:r>
        <w:t>CANopen对象字典核心条目</w:t>
      </w:r>
    </w:p>
    <w:tbl>
      <w:tblPr>
        <w:tblW w:w="5000" w:type="pct"/>
        <w:tblBorders>
          <w:top w:val="single" w:color="1565C0" w:sz="12"/>
          <w:left w:val="nil"/>
          <w:bottom w:val="single" w:color="1565C0" w:sz="12"/>
          <w:right w:val="nil"/>
          <w:insideH w:val="single" w:color="BBDEFB" w:sz="4"/>
          <w:insideV w:val="nil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索引范围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用途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典型条目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0x1000-0x1029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通讯参数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设备类型、错误寄存器、节点ID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0x1200-0x128F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SDO参数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COB-ID、传输类型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0x1400-0x15FF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RPDO通信参数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COB-ID、传输类型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0x1600-0x17FF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RPDO映射参数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映射对象数量、对象地址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0x1800-0x19FF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TPDO通信参数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COB-ID、传输类型、禁止时间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0x1A00-0x1BFF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TPDO映射参数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映射对象数量、对象地址</w:t>
            </w:r>
          </w:p>
        </w:tc>
      </w:tr>
    </w:tbl>
    <w:p/>
    <w:p>
      <w:pPr>
        <w:pStyle w:val="Heading2"/>
      </w:pPr>
      <w:r>
        <w:t>2.3 Modbus协议</w:t>
      </w:r>
    </w:p>
    <w:p>
      <w:r>
        <w:t>Modbus是由Modicon（现为施耐德电气）于1979年开发的串行通信协议，因其开放性、简单性和广泛的设备支持而成为工业领域使用最广泛的通信协议。Modbus支持多种物理层：RS-232（点对点）、RS-485（多点总线，最多247个节点）和TCP/IP（以太网）。Modbus协议本身是免费的，任何厂商都可以实现。</w:t>
      </w:r>
    </w:p>
    <w:p>
      <w:r>
        <w:t>Modbus RTU是最常用的串行模式，采用紧凑的二进制编码和CRC16校验，数据帧格式包括：从站地址（1字节）、功能码（1字节）、数据（N字节）和CRC校验（2字节）。Modbus TCP则将Modbus帧封装在TCP/IP数据包中，使用MBAP（Modbus Application Protocol）头部替代串行模式中的从站地址和CRC校验。Modbus ASCII模式使用ASCII字符编码和LRC校验，效率较低，现已较少使用。</w:t>
      </w:r>
    </w:p>
    <w:p>
      <w:pPr>
        <w:pStyle w:val="Heading3"/>
      </w:pPr>
      <w:r>
        <w:t>Modbus功能码速查</w:t>
      </w:r>
    </w:p>
    <w:tbl>
      <w:tblPr>
        <w:tblW w:w="5000" w:type="pct"/>
        <w:tblBorders>
          <w:top w:val="single" w:color="1565C0" w:sz="12"/>
          <w:left w:val="nil"/>
          <w:bottom w:val="single" w:color="1565C0" w:sz="12"/>
          <w:right w:val="nil"/>
          <w:insideH w:val="single" w:color="BBDEFB" w:sz="4"/>
          <w:insideV w:val="nil"/>
        </w:tblBorders>
      </w:tblPr>
      <w:tblGrid>
        <w:gridCol w:w="2000"/>
        <w:gridCol w:w="2000"/>
        <w:gridCol w:w="2000"/>
      </w:tblGrid>
      <w:tr>
        <w:trPr>
          <w:tblHeader/>
        </w:trPr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功能码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名称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说明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0x01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读线圈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读取离散输出状态（DO）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0x02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读离散输入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读取离散输入状态（DI）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0x03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读保持寄存器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读取保持寄存器（HR）数据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0x04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读输入寄存器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读取输入寄存器（IR）数据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0x05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写单个线圈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写入单个离散输出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0x06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写单个寄存器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写入单个保持寄存器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0x0F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写多个线圈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批量写入离散输出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0x10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写多个寄存器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批量写入保持寄存器</w:t>
            </w:r>
          </w:p>
        </w:tc>
      </w:tr>
    </w:tbl>
    <w:p/>
    <w:p>
      <w:pPr>
        <w:pStyle w:val="Heading3"/>
      </w:pPr>
      <w:r>
        <w:t>Modbus RTU C语言源码示例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Modbus RTU CRC校验计算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uint16_t modbus_crc(uint8_t *data, uint16_t len)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uint16_t crc = 0xFFFF;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for (uint16_t i = 0; i &lt; len; i++)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crc ^= data[i];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for (int j = 0; j &lt; 8; j++)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if (crc &amp; 1) crc = (crc &gt;&gt; 1) ^ 0xA001;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else crc &gt;&gt;= 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return crc;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读取保持寄存器（功能码0x03）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void modbus_read_holding(uint8_t slave, uint16_t addr, uint16_t qty)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uint8_t frame[8];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frame[0] = slave;       // 从站地址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frame[1] = 0x03;        // 功能码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frame[2] = addr &gt;&gt; 8;   // 起始地址高字节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frame[3] = addr &amp; 0xFF; // 起始地址低字节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frame[4] = qty &gt;&gt; 8;    // 数量高字节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frame[5] = qty &amp; 0xFF;  // 数量低字节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uint16_t crc = modbus_crc(frame, 6);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frame[6] = crc &amp; 0xFF;  // CRC低字节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frame[7] = crc &gt;&gt; 8;    // CRC高字节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uart_send(frame, 8);    // 通过串口发送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</w:t>
      </w:r>
    </w:p>
    <w:p/>
    <w:p>
      <w:pPr>
        <w:pStyle w:val="Heading2"/>
      </w:pPr>
      <w:r>
        <w:t>2.4 CC-Link协议</w:t>
      </w:r>
    </w:p>
    <w:p>
      <w:r>
        <w:t>CC-Link（Control &amp; Communication Link）是由三菱电机开发的开放式工业网络协议，在亚洲特别是日本和中国有大量应用。CC-Link家族包括CC-Link（基于RS-485的现场总线，最高10Mbps）、CC-Link/LT（低成本版本，用于传感器层）、CC-Link Safety（安全通信）和CC-Link IE（基于工业以太网，1Gbps）。CC-Link IE又细分为Control（控制层，PLC间通信）和Field（现场层，I/O设备通信）两个层次。</w:t>
      </w:r>
    </w:p>
    <w:p>
      <w:r>
        <w:t>CC-Link IE Control采用光纤双环网拓扑，具有自愈能力，任何一个节点故障不影响其他节点通信。CC-Link IE Field使用标准以太网线缆，支持线型、星型和环型拓扑。CC-Link IE TSN是最新一代技术，结合了TSN（时间敏感网络）技术，支持实时通信和非实时通信在同一网络上共存，实现了IT/OT融合。</w:t>
      </w:r>
    </w:p>
    <w:p>
      <w:pPr>
        <w:pStyle w:val="Heading2"/>
      </w:pPr>
      <w:r>
        <w:t>2.5 HART协议</w:t>
      </w:r>
    </w:p>
    <w:p>
      <w:r>
        <w:t>HART（Highway Addressable Remote Transducer）协议是一种在4-20mA模拟信号上叠加数字信号的混合通信协议。HART使用FSK（频移键控）技术，数字'0'用1200Hz表示，数字'1'用2200Hz表示，通信速率为1200bps。由于FSK信号的平均值为零，数字通信不会影响模拟信号的传输精度。HART协议由FieldComm Group管理，目前主要版本为HART 5/6/7。</w:t>
      </w:r>
    </w:p>
    <w:p>
      <w:r>
        <w:t>HART采用主从通信模式，支持点对点（地址=0，同时传输模拟和数字信号）和多点（地址1-15，仅数字信号）两种工作模式。HART命令分为通用命令（所有设备必支持）、常用命令（大部分设备支持）和专用命令（特定设备）。HART报文格式包括：前导码（5-20个0xFF）、定界符（1字节）、地址（短帧1字节或长帧5字节）、命令（1字节）、字节数（1字节）、状态（2字节，仅响应）、数据（0-253字节）和校验和（1字节）。</w:t>
      </w:r>
    </w:p>
    <w:p>
      <w:pPr>
        <w:pStyle w:val="Heading1"/>
      </w:pPr>
      <w:r>
        <w:t>三、工业以太网协议</w:t>
      </w:r>
    </w:p>
    <w:p>
      <w:r>
        <w:t>工业以太网是将标准以太网技术应用于工业控制领域的通信方案。相比现场总线，工业以太网具有更高的传输速率（100Mbps/1Gbps）、更大的数据容量、更灵活的拓扑结构和与IT系统的无缝集成能力。目前主流的工业以太网协议都基于IEEE 802.3标准，但在实时性、确定性和同步机制上各有特色。</w:t>
      </w:r>
    </w:p>
    <w:p>
      <w:pPr>
        <w:pStyle w:val="Heading2"/>
      </w:pPr>
      <w:r>
        <w:t>3.1 EtherNet/IP</w:t>
      </w:r>
    </w:p>
    <w:p>
      <w:r>
        <w:t>EtherNet/IP（Ethernet Industrial Protocol）由罗克韦尔自动化（Allen-Bradley）开发，是ODVA组织管理的开放式工业以太网标准。EtherNet/IP基于标准TCP/IP协议栈，在传输层使用UDP进行实时I/O通信（隐式报文），使用TCP进行配置和非周期数据交换（显式报文）。EtherNet/IP的核心是CIP（Common Industrial Protocol），CIP定义了设备描述、对象模型和服务接口。</w:t>
      </w:r>
    </w:p>
    <w:p>
      <w:r>
        <w:t>EtherNet/IP采用生产者-消费者模型，支持单播、多播和广播通信。实时I/O数据通过UDP端口2222传输，使用以太网优先级（IEEE 802.1Q VLAN标签）实现QoS。EtherNet/IP的拓扑发现协议（QuickConnect）可在500毫秒内建立连接。EtherNet/IP支持最多约500个节点（受限于广播域），使用标准以太网交换机，无需专用硬件。但EtherNet/IP的实时性能依赖于交换机和网络负载，最坏情况下的延迟不如EtherCAT和PROFINET IRT确定。</w:t>
      </w:r>
    </w:p>
    <w:p>
      <w:pPr>
        <w:pStyle w:val="Heading2"/>
      </w:pPr>
      <w:r>
        <w:t>3.2 PROFINET</w:t>
      </w:r>
    </w:p>
    <w:p>
      <w:r>
        <w:t>PROFINET是由西门子主导、PROFIBUS用户组织（PNO）推广的工业以太网标准，是目前欧洲市场占有率最高的工业以太网协议。PROFINET有三种实现等级：PROFINET NRT（非实时，基于标准TCP/IP，周期约100ms，用于参数化和诊断）、PROFINET RT（实时，绕过TCP/IP协议栈直接在以太网层传输，周期约10ms，用于工厂自动化）和PROFINET IRT（等时实时，使用ASIC硬件加速，周期可达31.25us，用于运动控制）。</w:t>
      </w:r>
    </w:p>
    <w:p>
      <w:r>
        <w:t>PROFINET采用标准以太网帧，通过以太网类型0x8892识别。IRT使用专用交换机（如西门子SCALANCE系列）实现精确的时间调度。PROFINET支持设备替换无需编程工具（LLDP拓扑发现）、介质冗余协议（MRP，环网恢复时间&lt;200ms）和系统冗余（S2架构，零切换时间）。PROFINET与PROFIBUS可通过代理设备（Proxy）实现无缝集成，保护用户既有投资。</w:t>
      </w:r>
    </w:p>
    <w:p>
      <w:pPr>
        <w:pStyle w:val="Heading3"/>
      </w:pPr>
      <w:r>
        <w:t>PROFINET配置步骤</w:t>
      </w:r>
    </w:p>
    <w:p>
      <w:pPr>
        <w:numPr>
          <w:ilvl w:val="0"/>
          <w:numId w:val="1"/>
        </w:numPr>
        <w:ind w:firstLine="0"/>
      </w:pPr>
      <w:r>
        <w:t>在设备组态中添加PROFINET IO控制器（如S7-1500 CPU）</w:t>
      </w:r>
    </w:p>
    <w:p>
      <w:pPr>
        <w:numPr>
          <w:ilvl w:val="0"/>
          <w:numId w:val="1"/>
        </w:numPr>
        <w:ind w:firstLine="0"/>
      </w:pPr>
      <w:r>
        <w:t>设置控制器IP地址和设备名称，确保与实际硬件一致</w:t>
      </w:r>
    </w:p>
    <w:p>
      <w:pPr>
        <w:numPr>
          <w:ilvl w:val="0"/>
          <w:numId w:val="1"/>
        </w:numPr>
        <w:ind w:firstLine="0"/>
      </w:pPr>
      <w:r>
        <w:t>从硬件目录中添加IO设备（如ET200SP分布式I/O）</w:t>
      </w:r>
    </w:p>
    <w:p>
      <w:pPr>
        <w:numPr>
          <w:ilvl w:val="0"/>
          <w:numId w:val="1"/>
        </w:numPr>
        <w:ind w:firstLine="0"/>
      </w:pPr>
      <w:r>
        <w:t>通过GSDML文件集成第三方设备</w:t>
      </w:r>
    </w:p>
    <w:p>
      <w:pPr>
        <w:numPr>
          <w:ilvl w:val="0"/>
          <w:numId w:val="1"/>
        </w:numPr>
        <w:ind w:firstLine="0"/>
      </w:pPr>
      <w:r>
        <w:t>配置每个IO设备的输入/输出模块和参数</w:t>
      </w:r>
    </w:p>
    <w:p>
      <w:pPr>
        <w:numPr>
          <w:ilvl w:val="0"/>
          <w:numId w:val="1"/>
        </w:numPr>
        <w:ind w:firstLine="0"/>
      </w:pPr>
      <w:r>
        <w:t>设置更新时间（Update Time），根据应用需求选择NRT/RT/IRT</w:t>
      </w:r>
    </w:p>
    <w:p>
      <w:pPr>
        <w:numPr>
          <w:ilvl w:val="0"/>
          <w:numId w:val="1"/>
        </w:numPr>
        <w:ind w:firstLine="0"/>
      </w:pPr>
      <w:r>
        <w:t>分配设备名称（可使用DCP协议在线分配）</w:t>
      </w:r>
    </w:p>
    <w:p>
      <w:pPr>
        <w:numPr>
          <w:ilvl w:val="0"/>
          <w:numId w:val="1"/>
        </w:numPr>
        <w:ind w:firstLine="0"/>
      </w:pPr>
      <w:r>
        <w:t>编译并下载硬件配置到PLC</w:t>
      </w:r>
    </w:p>
    <w:p>
      <w:pPr>
        <w:pStyle w:val="Heading2"/>
      </w:pPr>
      <w:r>
        <w:t>3.3 EtherCAT</w:t>
      </w:r>
    </w:p>
    <w:p>
      <w:r>
        <w:t>EtherCAT（Ethernet for Control Automation Technology）由德国倍福（Beckhoff）公司于2003年开发，是目前实时性能最高的工业以太网协议之一。EtherCAT的独特之处在于'飞速传输'（Processing on the Fly）机制：以太网帧经过每个从站时，从站通过专用硬件（ESC芯片）在帧经过的同时读取输出数据和写入输入数据，帧几乎不会被延迟。这种机制使得EtherCAT的延迟仅取决于帧经过的节点数和线缆长度，而非节点数量的累加。</w:t>
      </w:r>
    </w:p>
    <w:p>
      <w:r>
        <w:t>EtherCAT支持多种物理拓扑：线型、树型、星型和环型（EtherCAT原生支持环型拓扑，无需额外配置即可实现线缆冗余）。一个EtherCAT网段最多可连接65,535个从站，使用标准以太网端口（100BASE-TX）即可作为主站。EtherCAT的分布式时钟（DC）机制可实现小于100纳秒的节点间同步精度，非常适合多轴运动控制。EtherCAT通信周期可低至50微秒，抖动小于1微秒。</w:t>
      </w:r>
    </w:p>
    <w:p>
      <w:r>
        <w:t>EtherCAT的协议栈分为应用层（CANopen over EtherCAT, CoE）、传输层（Ethernet over EtherCAT, EoE）、文件访问层（FoE）、驱动行规层（SoE）等。TwinCAT（Beckhoff的软件开发平台）是最常用的EtherCAT主站配置工具，开源主站协议栈SOEM（Simple Open EtherCAT Master）为开发者提供了自主开发主站的可能。</w:t>
      </w:r>
    </w:p>
    <w:p>
      <w:pPr>
        <w:pStyle w:val="Heading3"/>
      </w:pPr>
      <w:r>
        <w:t>EtherCAT配置步骤</w:t>
      </w:r>
    </w:p>
    <w:p>
      <w:pPr>
        <w:numPr>
          <w:ilvl w:val="0"/>
          <w:numId w:val="1"/>
        </w:numPr>
        <w:ind w:firstLine="0"/>
      </w:pPr>
      <w:r>
        <w:t>在TwinCAT或SOEM中扫描EtherCAT从站，获取网络拓扑</w:t>
      </w:r>
    </w:p>
    <w:p>
      <w:pPr>
        <w:numPr>
          <w:ilvl w:val="0"/>
          <w:numId w:val="1"/>
        </w:numPr>
        <w:ind w:firstLine="0"/>
      </w:pPr>
      <w:r>
        <w:t>确认每个从站的ESC芯片类型和固件版本</w:t>
      </w:r>
    </w:p>
    <w:p>
      <w:pPr>
        <w:numPr>
          <w:ilvl w:val="0"/>
          <w:numId w:val="1"/>
        </w:numPr>
        <w:ind w:firstLine="0"/>
      </w:pPr>
      <w:r>
        <w:t>配置分布式时钟（DC），设置参考时钟（通常是第一个DC从站）</w:t>
      </w:r>
    </w:p>
    <w:p>
      <w:pPr>
        <w:numPr>
          <w:ilvl w:val="0"/>
          <w:numId w:val="1"/>
        </w:numPr>
        <w:ind w:firstLine="0"/>
      </w:pPr>
      <w:r>
        <w:t>定义PDO映射（Process Data Objects），将变量映射到I/O</w:t>
      </w:r>
    </w:p>
    <w:p>
      <w:pPr>
        <w:numPr>
          <w:ilvl w:val="0"/>
          <w:numId w:val="1"/>
        </w:numPr>
        <w:ind w:firstLine="0"/>
      </w:pPr>
      <w:r>
        <w:t>配置从站参数（通过CoE或SoE服务写入对象字典）</w:t>
      </w:r>
    </w:p>
    <w:p>
      <w:pPr>
        <w:numPr>
          <w:ilvl w:val="0"/>
          <w:numId w:val="1"/>
        </w:numPr>
        <w:ind w:firstLine="0"/>
      </w:pPr>
      <w:r>
        <w:t>设置主站周期时间（Task Cycle Time）</w:t>
      </w:r>
    </w:p>
    <w:p>
      <w:pPr>
        <w:numPr>
          <w:ilvl w:val="0"/>
          <w:numId w:val="1"/>
        </w:numPr>
        <w:ind w:firstLine="0"/>
      </w:pPr>
      <w:r>
        <w:t>启用EtherCAT主站并启动数据交换</w:t>
      </w:r>
    </w:p>
    <w:p>
      <w:pPr>
        <w:pStyle w:val="Heading2"/>
      </w:pPr>
      <w:r>
        <w:t>3.4 时间敏感网络TSN</w:t>
      </w:r>
    </w:p>
    <w:p>
      <w:r>
        <w:t>TSN（Time-Sensitive Networking）是IEEE 802.1工作组定义的一组以太网扩展标准，旨在为标准以太网增加确定性传输能力。TSN不是一个单一的协议，而是一套工具箱式的标准集合，包括：IEEE 802.1AS（时间同步，基于gPTP，精度亚微秒级）、IEEE 802.1Qbv（时间感知调度，门控机制）、IEEE 802.1Qbu/802.3br（帧抢占）、IEEE 802.1CB（帧复制和消除，冗余传输）、IEEE 802.1Qci（逐流过滤和监管）等。</w:t>
      </w:r>
    </w:p>
    <w:p>
      <w:r>
        <w:t>TSN的核心优势在于与标准以太网的完全兼容，可以在同一网络中混合传输实时和非实时流量，实现真正的IT/OT融合。TSN的时间同步通过gPTP（通用精确时间协议）实现，主时钟通过最佳主时钟算法（BMCA）选举产生。TSN的时间感知调度（Qbv）通过门控列表（GCL）精确控制每个队列的传输时间窗口，确保关键流量在确定的时间窗口内发送。TSN的配置可通过集中式网络配置（CNC）或分布式网络配置（DNC）实现。</w:t>
      </w:r>
    </w:p>
    <w:p>
      <w:pPr>
        <w:pStyle w:val="Heading1"/>
      </w:pPr>
      <w:r>
        <w:t>四、工业无线通讯协议</w:t>
      </w:r>
    </w:p>
    <w:p>
      <w:r>
        <w:t>工业无线通讯技术解决了有线网络难以覆盖的移动设备、旋转设备、远程监控和临时部署等场景的通信需求。工业无线协议需要在恶劣的工业环境中（高温、粉尘、电磁干扰）提供可靠的数据传输，因此对协议的设计提出了更高的要求。</w:t>
      </w:r>
    </w:p>
    <w:p>
      <w:pPr>
        <w:pStyle w:val="Heading2"/>
      </w:pPr>
      <w:r>
        <w:t>4.1 WirelessHART</w:t>
      </w:r>
    </w:p>
    <w:p>
      <w:r>
        <w:t>WirelessHART是由HART通信基金会（现FieldComm Group）于2007年发布的无线通信标准，是第一个专为过程工业设计的开放可互操作无线通信标准。WirelessHART工作在2.4GHz ISM频段，采用IEEE 802.15.4 DSSS（直接序列扩频）物理层，使用TSMP（Time Synchronized Mesh Protocol）时分多址技术。WirelessHART网络采用自组织、自愈合的网状（Mesh）拓扑，每个设备既可收发数据，也可为其他设备转发数据。</w:t>
      </w:r>
    </w:p>
    <w:p>
      <w:r>
        <w:t>WirelessHART网络包括三个核心组件：无线现场设备（传感器/执行器）、网关（连接无线网络和有线控制系统）和网络管理器（负责网络配置、通信调度、路由管理和安全监控）。WirelessHART支持AES-128加密，具有高度的安全性。每个网关最多可管理100个设备，典型的通信延迟为1-2秒，适合过程自动化中的监控应用。WirelessHART已在全球数千个石油、化工、电力和制药项目中成功部署。</w:t>
      </w:r>
    </w:p>
    <w:p>
      <w:pPr>
        <w:pStyle w:val="Heading2"/>
      </w:pPr>
      <w:r>
        <w:t>4.2 ISA100.11a</w:t>
      </w:r>
    </w:p>
    <w:p>
      <w:r>
        <w:t>ISA100.11a是由国际自动化学会（ISA）制定的工业无线标准，正式名称为ISA-100.11a-2011。ISA100.11a同样工作在2.4GHz频段，但比WirelessHART更加灵活：它支持多种网络拓扑（星型、网状、混合型），允许用户自定义路由策略，支持对上层协议的隧道封装（可承载HART、Modbus、OPC UA等多种协议）。ISA100.11a也采用时分多址（TDMA）和信道跳频（Channel Hopping）技术，具有抗干扰能力强的特点。</w:t>
      </w:r>
    </w:p>
    <w:p>
      <w:pPr>
        <w:pStyle w:val="Heading2"/>
      </w:pPr>
      <w:r>
        <w:t>4.3 5G URLLC与TSN融合</w:t>
      </w:r>
    </w:p>
    <w:p>
      <w:r>
        <w:t>5G技术的URLLC（Ultra-Reliable Low-Latency Communications，超可靠低时延通信）场景为空口时延降至1毫秒以下、可靠性达到99.999%（五个9）提供了可能，使其成为工业无线通信的重要技术方向。3GPP在R16版本中增加了对TSN的支持（TSN-over-5G），实现了5G网络与TSN网络的无缝对接。5G TSN融合的关键技术包括：基于5G系统的时间同步（支持802.1AS gPTP）、以太网数据包透传、URLLC调度优化和QoS管理。</w:t>
      </w:r>
    </w:p>
    <w:p>
      <w:pPr>
        <w:pStyle w:val="Heading1"/>
      </w:pPr>
      <w:r>
        <w:t>五、工业物联网协议</w:t>
      </w:r>
    </w:p>
    <w:p>
      <w:r>
        <w:t>工业物联网（IIoT）协议是连接OT（运营技术）和IT（信息技术）世界的桥梁。这些协议通常运行在TCP/IP之上，具有跨平台、安全、语义互操作等特点，旨在打破不同厂商设备之间的信息孤岛，实现数据的互联互通和智能分析。</w:t>
      </w:r>
    </w:p>
    <w:p>
      <w:pPr>
        <w:pStyle w:val="Heading2"/>
      </w:pPr>
      <w:r>
        <w:t>5.1 MQTT协议</w:t>
      </w:r>
    </w:p>
    <w:p>
      <w:r>
        <w:t>MQTT（Message Queuing Telemetry Transport）是由IBM于1999年开发的轻量级发布/订阅消息协议，2014年成为OASIS标准。MQTT采用客户端-代理（Broker）架构，客户端发布消息到主题（Topic），订阅了该主题的客户端通过代理接收消息。MQTT的报头最小仅为2字节，非常适合带宽受限、功耗敏感的网络环境。MQTT支持三种QoS（服务质量）等级：0（最多一次，即发即弃）、1（至少一次，确保送达）、2（恰好一次，确保不重复）。</w:t>
      </w:r>
    </w:p>
    <w:p>
      <w:r>
        <w:t>MQTT在工业互联网中的应用非常广泛，包括设备状态监测、传感器数据采集、远程控制和报警推送等。MQTT broker（如Mosquitto、HiveMQ、EMQ X）部署在边缘或云端，PLC、传感器等设备通过MQTT客户端库将数据发布到broker，SCADA、MES、云平台等应用订阅相关主题获取数据。MQTT 5.0版本增加了会话到期、消息过期、主题别名、流量控制等新特性，更适合大规模工业部署。</w:t>
      </w:r>
    </w:p>
    <w:p>
      <w:pPr>
        <w:pStyle w:val="Heading3"/>
      </w:pPr>
      <w:r>
        <w:t>MQTT Python客户端源码示例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import paho.mqtt.client as mqtt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# 连接回调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def on_connect(client, userdata, flags, rc):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print(f'Connected with result code {rc}')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client.subscribe('factory/line1/temperature')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# 消息回调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def on_message(client, userdata, msg):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print(f'{msg.topic}: {msg.payload.decode()}')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 = mqtt.Client()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client.on_connect = on_connect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client.on_message = on_message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client.connect('192.168.1.100', 1883, 60)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# 发布温度数据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client.publish('factory/line1/temperature', payload='25.6', qos=1)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client.loop_forever()</w:t>
      </w:r>
    </w:p>
    <w:p/>
    <w:p>
      <w:pPr>
        <w:pStyle w:val="Heading2"/>
      </w:pPr>
      <w:r>
        <w:t>5.2 OPC UA</w:t>
      </w:r>
    </w:p>
    <w:p>
      <w:r>
        <w:t>OPC UA（OPC Unified Architecture）是OPC基金会推出的新一代工业通信标准，旨在取代基于Microsoft COM/DCOM技术的传统OPC（DA/HDA/AE）。OPC UA采用面向服务的架构（SOA），具有跨平台（Windows/Linux/嵌入式）、安全性（X.509证书、加密、签名）、语义互操作（标准化信息模型）和可扩展性等特点。OPC UA定义了丰富的服务接口：发现服务、会话服务、节点管理服务、视图服务、属性服务、方法服务、监视项服务、订阅服务和查询服务等。</w:t>
      </w:r>
    </w:p>
    <w:p>
      <w:r>
        <w:t>OPC UA的核心是地址空间（Address Space），所有数据和功能都表示为节点（Node）和引用（Reference）。节点类型包括：对象（Object）、变量（Variable）、方法（Method）、对象类型（ObjectType）、变量类型（VariableType）、引用类型（ReferenceType）和数据类型（DataType）。OPC UA定义了数百个标准化信息模型，如：设备模型（DI）、PLCopen模型（IEC 61131-3）、分析设备模型（ADI）、机器人模型（Robotics）等。通过Companion Specification，不同行业的设备可以以标准化的方式描述其数据和功能。</w:t>
      </w:r>
    </w:p>
    <w:p>
      <w:pPr>
        <w:pStyle w:val="Heading3"/>
      </w:pPr>
      <w:r>
        <w:t>OPC UA服务器C#核心代码示例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using Opc.Ua;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using Opc.Ua.Server;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创建服务器配置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var config = new ApplicationConfiguration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ApplicationName = 'MyOPCUAServer',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ApplicationUri = 'urn:factory:opcua:server',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ServerConfiguration = new ServerConfiguration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BaseAddresses = { 'opc.tcp://localhost:4840' },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SecurityPolicies = new ServerSecurityPolicyCollection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new ServerSecurityPolicy(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    SecurityPolicyUris.Basic256Sha256,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    MessageSecurityMode.SignAndEncrypt)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初始化地址空间 - 创建温度传感器节点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public override void CreateAddressSpace(NodeState rootNode)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var myDevice = new BaseObjectState(null)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NodeId = new NodeId('Device1', NamespaceIndex),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BrowseName = new QualifiedName('Device1', NamespaceIndex),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DisplayName = new LocalizedText('Device 1')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AddPredefinedNode(SystemContext, myDevice);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var temperature = new BaseDataVariableState(myDevice)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NodeId = new NodeId('Device1.Temperature', NamespaceIndex),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BrowseName = new QualifiedName('Temperature', NamespaceIndex),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DisplayName = new LocalizedText('Temperature'),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DataType = DataTypeIds.Double,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Value = 23.5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AddPredefinedNode(SystemContext, temperature);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</w:t>
      </w:r>
    </w:p>
    <w:p/>
    <w:p>
      <w:pPr>
        <w:pStyle w:val="Heading1"/>
      </w:pPr>
      <w:r>
        <w:t>六、PLC通讯与自由口协议</w:t>
      </w:r>
    </w:p>
    <w:p>
      <w:r>
        <w:t>PLC（可编程逻辑控制器）是工业控制的核心设备，各品牌PLC都定义了专用的通信协议用于编程、监控和数据交换。理解这些协议对于实现PLC与上位机、PLC与PLC之间的通信至关重要。</w:t>
      </w:r>
    </w:p>
    <w:p>
      <w:pPr>
        <w:pStyle w:val="Heading2"/>
      </w:pPr>
      <w:r>
        <w:t>6.1 西门子S7通讯协议</w:t>
      </w:r>
    </w:p>
    <w:p>
      <w:r>
        <w:t>西门子S7系列PLC使用S7Comm（S7-300/400）和S7CommPlus（S7-1200/1500）协议进行通信。S7Comm基于ISO-on-TCP（RFC 1006），运行在TCP端口102上。协议结构包括：ISO TP层（COTP连接请求/确认）、S7报头（32字节，包含参数长度、数据长度、错误码等）和S7参数（功能码、数据地址等）。S7CommPlus在S7Comm基础上增加了安全机制，使用会话ID和加密签名防止中间人攻击。</w:t>
      </w:r>
    </w:p>
    <w:p>
      <w:r>
        <w:t>S7协议支持的功能包括：读/写变量（DB、I、Q、M、T、C区域）、程序上传/下载、启动/停止PLC、获取诊断信息等。地址格式为：DB1.DBW0（DB1数据块第0字）、MB100（标志字节100）、I0.0（输入位0.0）等。开源库如Snap7（C/C++）、python-snap7（Python）和S7.Net（C#）提供了对S7协议的完整实现。</w:t>
      </w:r>
    </w:p>
    <w:p>
      <w:pPr>
        <w:pStyle w:val="Heading3"/>
      </w:pPr>
      <w:r>
        <w:t>Snap7读取DB块源码示例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#include 'snap7.h'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TS7Client client;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连接到PLC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int res = client.ConnectTo('192.168.1.10', 0, 1);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if (res == 0)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byte buffer[256];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// 从DB1的地址0读取100字节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res = client.DBRead(1, 0, 100, &amp;buffer);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if (res == 0)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// 解析数据：DB1.DBW0 -&gt; int16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int16_t value = *(int16_t*)&amp;buffer[0];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printf('DB1.DBW0 = %d\n', value);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// DB1.DBD2 -&gt; float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float temp = *(float*)&amp;buffer[2];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printf('DB1.DBD2 = %.2f\n', temp);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client.Disconnect();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</w:t>
      </w:r>
    </w:p>
    <w:p/>
    <w:p>
      <w:pPr>
        <w:pStyle w:val="Heading2"/>
      </w:pPr>
      <w:r>
        <w:t>6.2 自由口通讯模式</w:t>
      </w:r>
    </w:p>
    <w:p>
      <w:r>
        <w:t>自由口通讯（Freeport Mode）是指PLC串口不受特定协议约束，用户可以自定义通信帧格式和协议逻辑的一种工作模式。在自由口模式下，PLC的串口（RS-232或RS-485）完全由用户程序控制，通过发送（XMT）和接收（RCV）指令与外部设备通信。这种模式非常适合与打印机、条码扫描器、RFID读写器、称重仪表、GPS模块等不支持标准工业协议的设备对接。</w:t>
      </w:r>
    </w:p>
    <w:p>
      <w:r>
        <w:t>西门子S7-200 SMART和S7-1200的RS485端口支持自由口模式，通过SMB30（端口0）和SMB130（端口1）配置波特率、校验位和数据位。三菱FX系列的RS指令用于自由口通信。自由口通讯的核心编程要点包括：配置通信参数、编写发送逻辑（将数据写入发送缓冲区并触发发送）、编写接收逻辑（通过中断或轮询方式接收数据、校验帧头帧尾、解析数据）。</w:t>
      </w:r>
    </w:p>
    <w:p>
      <w:pPr>
        <w:pStyle w:val="Heading3"/>
      </w:pPr>
      <w:r>
        <w:t>自由口通讯编程要点</w:t>
      </w:r>
    </w:p>
    <w:p>
      <w:pPr>
        <w:numPr>
          <w:ilvl w:val="0"/>
          <w:numId w:val="1"/>
        </w:numPr>
        <w:ind w:firstLine="0"/>
      </w:pPr>
      <w:r>
        <w:t>配置串口参数：波特率、数据位（7/8）、停止位（1/2）、校验（奇/偶/无）</w:t>
      </w:r>
    </w:p>
    <w:p>
      <w:pPr>
        <w:numPr>
          <w:ilvl w:val="0"/>
          <w:numId w:val="1"/>
        </w:numPr>
        <w:ind w:firstLine="0"/>
      </w:pPr>
      <w:r>
        <w:t>定义帧格式：帧头（固定字节序列）、数据长度、有效载荷、校验（CRC/LRC/异或）、帧尾</w:t>
      </w:r>
    </w:p>
    <w:p>
      <w:pPr>
        <w:numPr>
          <w:ilvl w:val="0"/>
          <w:numId w:val="1"/>
        </w:numPr>
        <w:ind w:firstLine="0"/>
      </w:pPr>
      <w:r>
        <w:t>发送处理：将数据按帧格式组装，写入发送缓冲区，调用发送指令</w:t>
      </w:r>
    </w:p>
    <w:p>
      <w:pPr>
        <w:numPr>
          <w:ilvl w:val="0"/>
          <w:numId w:val="1"/>
        </w:numPr>
        <w:ind w:firstLine="0"/>
      </w:pPr>
      <w:r>
        <w:t>接收处理：启用接收中断或轮询接收缓冲区，检测帧头，按长度接收完整帧</w:t>
      </w:r>
    </w:p>
    <w:p>
      <w:pPr>
        <w:numPr>
          <w:ilvl w:val="0"/>
          <w:numId w:val="1"/>
        </w:numPr>
        <w:ind w:firstLine="0"/>
      </w:pPr>
      <w:r>
        <w:t>错误处理：超时检测、校验错误处理、帧长度异常处理、重发机制</w:t>
      </w:r>
    </w:p>
    <w:p>
      <w:pPr>
        <w:pStyle w:val="Heading3"/>
      </w:pPr>
      <w:r>
        <w:t>自由口自定义协议帧解析示例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自定义协议帧格式：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[0xAA 0x55] [ADDR] [CMD] [LEN] [DATA...] [CRC8] [0x0D]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 帧头        地址    命令  长度   数据      校验   帧尾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// 帧解析状态机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typedef enum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WAIT_HEAD1, WAIT_HEAD2, WAIT_ADDR,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WAIT_CMD, WAIT_LEN, WAIT_DATA, WAIT_CRC, WAIT_TAIL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 FrameState;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/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void uart_rx_handler(uint8_t byte)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static FrameState state = WAIT_HEAD1;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static uint8_t buf[256], idx = 0, len = 0;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switch(state) {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WAIT_HEAD1: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if(byte == 0xAA) state = WAIT_HEAD2;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WAIT_HEAD2: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state = (byte == 0x55) ? WAIT_ADDR : WAIT_HEAD1;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WAIT_ADDR: buf[0] = byte; state = WAIT_CMD;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WAIT_CMD:  buf[1] = byte; state = WAIT_LEN;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WAIT_LEN: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len = byte; idx = 0;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state = (len &gt; 0) ? WAIT_DATA : WAIT_CRC;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WAIT_DATA: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buf[2 + idx++] = byte;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if(idx &gt;= len) state = WAIT_CRC;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WAIT_CRC: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if(crc8_check(buf, 3 + len)) state = WAIT_TAIL;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else state = WAIT_HEAD1;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case WAIT_TAIL: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if(byte == 0x0D) process_frame(buf[0], buf[1], buf+2, len);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state = WAIT_HEAD1;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        break;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    }</w:t>
      </w:r>
    </w:p>
    <w:p>
      <w:pPr>
        <w:shd w:val="clear" w:fill="F5F5F5"/>
        <w:spacing w:before="20" w:after="20" w:line="280" w:lineRule="auto"/>
        <w:ind w:firstLine="0"/>
      </w:pPr>
      <w:r>
        <w:rPr>
          <w:rFonts w:ascii="Consolas" w:hAnsi="Consolas" w:eastAsia="SimSun"/>
          <w:color w:val="263238"/>
          <w:sz w:val="18"/>
        </w:rPr>
        <w:t xml:space="preserve">}</w:t>
      </w:r>
    </w:p>
    <w:p/>
    <w:p>
      <w:pPr>
        <w:pStyle w:val="Heading1"/>
      </w:pPr>
      <w:r>
        <w:t>七、协议对比与选型指南</w:t>
      </w:r>
    </w:p>
    <w:p>
      <w:pPr>
        <w:pStyle w:val="Heading2"/>
      </w:pPr>
      <w:r>
        <w:t>7.1 综合对比表</w:t>
      </w:r>
    </w:p>
    <w:tbl>
      <w:tblPr>
        <w:tblW w:w="5000" w:type="pct"/>
        <w:tblBorders>
          <w:top w:val="single" w:color="1565C0" w:sz="12"/>
          <w:left w:val="nil"/>
          <w:bottom w:val="single" w:color="1565C0" w:sz="12"/>
          <w:right w:val="nil"/>
          <w:insideH w:val="single" w:color="BBDEFB" w:sz="4"/>
          <w:insideV w:val="nil"/>
        </w:tblBorders>
      </w:tblPr>
      <w:tblGrid>
        <w:gridCol w:w="2000"/>
        <w:gridCol w:w="2000"/>
        <w:gridCol w:w="2000"/>
        <w:gridCol w:w="2000"/>
        <w:gridCol w:w="2000"/>
        <w:gridCol w:w="2000"/>
        <w:gridCol w:w="2000"/>
      </w:tblGrid>
      <w:tr>
        <w:trPr>
          <w:tblHeader/>
        </w:trPr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协议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类型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速率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拓扑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实时性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最大节点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典型应用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PROFIBUS DP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现场总线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12Mbps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126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工厂自动化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CANopen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现场总线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1Mbps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127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运动控制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Modbus RTU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现场总线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115.2K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247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通用I/O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HART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现场总线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1.2Kbps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点对点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低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16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过程仪表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CC-Link IE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1Gbps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环型/星型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极高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120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汽车制造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EtherNet/IP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100M/1G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星型/总线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~500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离散制造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PROFINET RT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100Mbps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星型/环型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256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工厂自动化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PROFINET IRT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100Mbps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星型/环型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极高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256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运动控制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EtherCAT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100Mbps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线型/环型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极高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65535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运动控制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TSN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工业以太网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100M/1G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任意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极高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不限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IT/OT融合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WirelessHART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无线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250Kbps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网状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低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100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过程监控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5G URLLC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无线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1Gbps+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蜂窝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高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不限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移动设备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MQTT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物联网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依赖网络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星型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不限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数据采集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OPC UA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物联网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依赖网络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星型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中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不限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系统集成</w:t>
            </w:r>
          </w:p>
        </w:tc>
      </w:tr>
    </w:tbl>
    <w:p/>
    <w:p>
      <w:pPr>
        <w:pStyle w:val="Heading2"/>
      </w:pPr>
      <w:r>
        <w:t>7.2 选型建议</w:t>
      </w:r>
    </w:p>
    <w:p>
      <w:r>
        <w:t>工业通讯协议的选择应综合考虑应用场景、实时性要求、设备兼容性、成本预算和未来扩展性等因素。以下为不同场景的推荐方案：</w:t>
      </w:r>
    </w:p>
    <w:p>
      <w:pPr>
        <w:numPr>
          <w:ilvl w:val="0"/>
          <w:numId w:val="1"/>
        </w:numPr>
        <w:ind w:firstLine="0"/>
      </w:pPr>
      <w:r>
        <w:t>运动控制（多轴同步）：首选EtherCAT（同步精度&lt;100ns），备选PROFINET IRT、Sercos III</w:t>
      </w:r>
    </w:p>
    <w:p>
      <w:pPr>
        <w:numPr>
          <w:ilvl w:val="0"/>
          <w:numId w:val="1"/>
        </w:numPr>
        <w:ind w:firstLine="0"/>
      </w:pPr>
      <w:r>
        <w:t>离散制造（PLC+I/O）：推荐PROFINET RT（易用性好）或EtherNet/IP（设备丰富）</w:t>
      </w:r>
    </w:p>
    <w:p>
      <w:pPr>
        <w:numPr>
          <w:ilvl w:val="0"/>
          <w:numId w:val="1"/>
        </w:numPr>
        <w:ind w:firstLine="0"/>
      </w:pPr>
      <w:r>
        <w:t>过程自动化（DCS+仪表）：PROFIBUS PA或HART（存量设备多），新建项目可选PROFINET</w:t>
      </w:r>
    </w:p>
    <w:p>
      <w:pPr>
        <w:numPr>
          <w:ilvl w:val="0"/>
          <w:numId w:val="1"/>
        </w:numPr>
        <w:ind w:firstLine="0"/>
      </w:pPr>
      <w:r>
        <w:t>设备互联（异构系统）：OPC UA（语义互操作）+ MQTT（数据采集）</w:t>
      </w:r>
    </w:p>
    <w:p>
      <w:pPr>
        <w:numPr>
          <w:ilvl w:val="0"/>
          <w:numId w:val="1"/>
        </w:numPr>
        <w:ind w:firstLine="0"/>
      </w:pPr>
      <w:r>
        <w:t>移动设备/AGV：5G URLLC（低时延+高带宽），备选WirelessHART（过程场合）</w:t>
      </w:r>
    </w:p>
    <w:p>
      <w:pPr>
        <w:numPr>
          <w:ilvl w:val="0"/>
          <w:numId w:val="1"/>
        </w:numPr>
        <w:ind w:firstLine="0"/>
      </w:pPr>
      <w:r>
        <w:t>传感器/执行器层：IO-Link（点对点数字通信）+ 现场总线（分布式I/O）</w:t>
      </w:r>
    </w:p>
    <w:p>
      <w:pPr>
        <w:numPr>
          <w:ilvl w:val="0"/>
          <w:numId w:val="1"/>
        </w:numPr>
        <w:ind w:firstLine="0"/>
      </w:pPr>
      <w:r>
        <w:t>IT/OT融合：TSN（统一网络），支持实时与非实时流量共存</w:t>
      </w:r>
    </w:p>
    <w:p>
      <w:pPr>
        <w:pStyle w:val="Heading1"/>
      </w:pPr>
      <w:r>
        <w:t>八、开源资源与源码实现</w:t>
      </w:r>
    </w:p>
    <w:p>
      <w:pPr>
        <w:pStyle w:val="Heading2"/>
      </w:pPr>
      <w:r>
        <w:t>8.1 开源协议栈汇总</w:t>
      </w:r>
    </w:p>
    <w:p>
      <w:r>
        <w:t>开源工业通讯协议栈为开发者提供了快速集成工业通信能力的途径，以下汇总了各主流协议的开源实现：</w:t>
      </w:r>
    </w:p>
    <w:tbl>
      <w:tblPr>
        <w:tblW w:w="5000" w:type="pct"/>
        <w:tblBorders>
          <w:top w:val="single" w:color="1565C0" w:sz="12"/>
          <w:left w:val="nil"/>
          <w:bottom w:val="single" w:color="1565C0" w:sz="12"/>
          <w:right w:val="nil"/>
          <w:insideH w:val="single" w:color="BBDEFB" w:sz="4"/>
          <w:insideV w:val="nil"/>
        </w:tblBorders>
      </w:tblPr>
      <w:tblGrid>
        <w:gridCol w:w="2000"/>
        <w:gridCol w:w="2000"/>
        <w:gridCol w:w="2000"/>
        <w:gridCol w:w="2000"/>
      </w:tblGrid>
      <w:tr>
        <w:trPr>
          <w:tblHeader/>
        </w:trPr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协议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开源项目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语言</w:t>
            </w:r>
          </w:p>
        </w:tc>
        <w:tc>
          <w:tcPr>
            <w:shd w:val="clear" w:fill="E3F2FD"/>
            <w:vAlign w:val="center"/>
          </w:tcPr>
          <w:p>
            <w:pPr>
              <w:spacing w:before="60" w:after="60"/>
              <w:ind w:firstLine="0"/>
              <w:jc w:val="center"/>
            </w:pPr>
            <w:r>
              <w:rPr>
                <w:rFonts w:ascii="Calibri" w:hAnsi="Calibri" w:eastAsia="Microsoft YaHei"/>
                <w:b/>
                <w:color w:val="263238"/>
                <w:sz w:val="20"/>
              </w:rPr>
              <w:t xml:space="preserve">许可证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Modbus RTU/TCP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libmodbus / pymodbus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 / Python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LGPL / MIT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EtherCAT Master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SOEM / IgH EtherCAT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BSD / GPL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EtherNet/IP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OpENer / EIPScanner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 / C++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BSD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CANopen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CANopenNode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Apache 2.0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OPC UA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open62541 / UA-.NETStandard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 / C#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MPL 2.0 / GPL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MQTT Broker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Mosquitto / EMQ X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 / Erlang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EPL / Apache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MQTT Client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Paho (C/C#/Python/Java)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多语言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EPL / EDL</w:t>
            </w:r>
          </w:p>
        </w:tc>
      </w:tr>
      <w:tr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S7 Protocol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Snap7 / python-snap7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C / Python</w:t>
            </w:r>
          </w:p>
        </w:tc>
        <w:tc>
          <w:tcPr>
            <w:vAlign w:val="center"/>
          </w:tcPr>
          <w:p>
            <w:pPr>
              <w:spacing w:before="40" w:after="40"/>
              <w:ind w:firstLine="0"/>
            </w:pPr>
            <w:r>
              <w:rPr>
                <w:rFonts w:ascii="Calibri" w:hAnsi="Calibri" w:eastAsia="Microsoft YaHei"/>
                <w:color w:val="263238"/>
                <w:sz w:val="20"/>
              </w:rPr>
              <w:t xml:space="preserve">LGPL / MIT</w:t>
            </w:r>
          </w:p>
        </w:tc>
      </w:tr>
    </w:tbl>
    <w:p/>
    <w:p>
      <w:pPr>
        <w:pStyle w:val="Heading2"/>
      </w:pPr>
      <w:r>
        <w:t>8.2 开发最佳实践</w:t>
      </w:r>
    </w:p>
    <w:p>
      <w:r>
        <w:t>本文档各章节已包含了主要协议的核心源码示例和配置步骤。在实际项目中使用这些开源库时，建议遵循以下最佳实践：</w:t>
      </w:r>
    </w:p>
    <w:p>
      <w:pPr>
        <w:numPr>
          <w:ilvl w:val="0"/>
          <w:numId w:val="1"/>
        </w:numPr>
        <w:ind w:firstLine="0"/>
      </w:pPr>
      <w:r>
        <w:t>仔细阅读开源协议的许可证条款，确保与项目商业策略兼容</w:t>
      </w:r>
    </w:p>
    <w:p>
      <w:pPr>
        <w:numPr>
          <w:ilvl w:val="0"/>
          <w:numId w:val="1"/>
        </w:numPr>
        <w:ind w:firstLine="0"/>
      </w:pPr>
      <w:r>
        <w:t>使用版本管理工具（如git submodule）跟踪开源库的版本更新</w:t>
      </w:r>
    </w:p>
    <w:p>
      <w:pPr>
        <w:numPr>
          <w:ilvl w:val="0"/>
          <w:numId w:val="1"/>
        </w:numPr>
        <w:ind w:firstLine="0"/>
      </w:pPr>
      <w:r>
        <w:t>在目标硬件平台上进行充分的性能和稳定性测试</w:t>
      </w:r>
    </w:p>
    <w:p>
      <w:pPr>
        <w:numPr>
          <w:ilvl w:val="0"/>
          <w:numId w:val="1"/>
        </w:numPr>
        <w:ind w:firstLine="0"/>
      </w:pPr>
      <w:r>
        <w:t>关注安全漏洞通告，及时更新到修补版本</w:t>
      </w:r>
    </w:p>
    <w:p>
      <w:pPr>
        <w:numPr>
          <w:ilvl w:val="0"/>
          <w:numId w:val="1"/>
        </w:numPr>
        <w:ind w:firstLine="0"/>
      </w:pPr>
      <w:r>
        <w:t>对于关键应用，考虑购买商业支持服务以获得技术支持</w:t>
      </w:r>
    </w:p>
    <w:p>
      <w:pPr>
        <w:numPr>
          <w:ilvl w:val="0"/>
          <w:numId w:val="1"/>
        </w:numPr>
        <w:ind w:firstLine="0"/>
      </w:pPr>
      <w:r>
        <w:t>遵循各协议的一致性测试规范，确保与其他厂商设备的互操作性</w:t>
      </w:r>
    </w:p>
    <w:p>
      <w:pPr>
        <w:numPr>
          <w:ilvl w:val="0"/>
          <w:numId w:val="1"/>
        </w:numPr>
        <w:ind w:firstLine="0"/>
      </w:pPr>
      <w:r>
        <w:t>利用Wireshark等网络分析工具进行通信调试和故障排查</w:t>
      </w:r>
    </w:p>
    <w:sectPr>
      <w:headerReference w:type="default" r:id="R7f4e15af60104c82"/>
      <w:footerReference w:type="default" r:id="R78313eb1564c43fa"/>
      <w:pgSz w:w="11906" w:h="16838"/>
      <w:pgMar w:top="1800" w:right="1440" w:bottom="1440" w:left="1440" w:header="720" w:footer="72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rFonts w:ascii="Calibri" w:hAnsi="Calibri" w:eastAsia="Microsoft YaHei"/>
        <w:color w:val="90A4AE"/>
        <w:sz w:val="18"/>
      </w:rPr>
      <w:t xml:space="preserve">-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Microsoft YaHei"/>
        <w:color w:val="90A4AE"/>
        <w:sz w:val="18"/>
      </w:rPr>
      <w:t xml:space="preserve">1</w:t>
    </w:r>
    <w:r>
      <w:fldChar w:fldCharType="end"/>
    </w:r>
    <w:r>
      <w:rPr>
        <w:rFonts w:ascii="Calibri" w:hAnsi="Calibri" w:eastAsia="Microsoft YaHei"/>
        <w:color w:val="90A4AE"/>
        <w:sz w:val="18"/>
      </w:rPr>
      <w:t xml:space="preserve"> -</w:t>
    </w:r>
  </w:p>
</w:ftr>
</file>

<file path=word/header1.xml><?xml version="1.0" encoding="utf-8"?>
<w:hdr xmlns:w="http://schemas.openxmlformats.org/wordprocessingml/2006/main">
  <w:p>
    <w:pPr>
      <w:jc w:val="right"/>
    </w:pPr>
    <w:r>
      <w:rPr>
        <w:rFonts w:ascii="Calibri" w:hAnsi="Calibri" w:eastAsia="Microsoft YaHei"/>
        <w:color w:val="90A4AE"/>
        <w:sz w:val="18"/>
      </w:rPr>
      <w:t xml:space="preserve">工业通讯协议完全指南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decimal"/>
      <w:lvlText w:val="%1."/>
      <w:lvlJc w:val="left"/>
      <w:pPr>
        <w:ind w:left="72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60" w:line="360" w:lineRule="auto"/>
      <w:ind w:firstLine="480"/>
    </w:pPr>
    <w:rPr>
      <w:rFonts w:ascii="Calibri" w:hAnsi="Calibri" w:eastAsia="Microsoft YaHei"/>
      <w:color w:val="263238"/>
      <w:sz w:val="21"/>
    </w:rPr>
  </w:style>
  <w:style w:type="paragraph" w:styleId="Heading1">
    <w:name w:val="heading 1"/>
    <w:basedOn w:val="Normal"/>
    <w:pPr>
      <w:keepNext/>
      <w:keepLines/>
      <w:spacing w:before="600" w:after="240"/>
      <w:ind w:firstLine="0"/>
      <w:outlineLvl w:val="0"/>
    </w:pPr>
    <w:rPr>
      <w:rFonts w:ascii="Calibri" w:hAnsi="Calibri" w:eastAsia="Microsoft YaHei"/>
      <w:b/>
      <w:color w:val="1565C0"/>
      <w:sz w:val="40"/>
    </w:rPr>
  </w:style>
  <w:style w:type="paragraph" w:styleId="Heading2">
    <w:name w:val="heading 2"/>
    <w:basedOn w:val="Normal"/>
    <w:pPr>
      <w:keepNext/>
      <w:keepLines/>
      <w:spacing w:before="400" w:after="160"/>
      <w:ind w:firstLine="0"/>
      <w:outlineLvl w:val="1"/>
    </w:pPr>
    <w:rPr>
      <w:rFonts w:ascii="Calibri" w:hAnsi="Calibri" w:eastAsia="Microsoft YaHei"/>
      <w:b/>
      <w:color w:val="37474F"/>
      <w:sz w:val="32"/>
    </w:rPr>
  </w:style>
  <w:style w:type="paragraph" w:styleId="Heading3">
    <w:name w:val="heading 3"/>
    <w:basedOn w:val="Normal"/>
    <w:pPr>
      <w:keepNext/>
      <w:keepLines/>
      <w:spacing w:before="280" w:after="120"/>
      <w:ind w:firstLine="0"/>
      <w:outlineLvl w:val="2"/>
    </w:pPr>
    <w:rPr>
      <w:rFonts w:ascii="Calibri" w:hAnsi="Calibri" w:eastAsia="Microsoft YaHei"/>
      <w:b/>
      <w:color w:val="546E7A"/>
      <w:sz w:val="26"/>
    </w:rPr>
  </w:style>
  <w:style w:type="paragraph" w:styleId="Caption">
    <w:name w:val="Caption"/>
    <w:basedOn w:val="Normal"/>
    <w:pPr>
      <w:spacing w:before="60" w:after="320"/>
      <w:ind w:firstLine="0"/>
      <w:jc w:val="center"/>
    </w:pPr>
    <w:rPr>
      <w:rFonts w:ascii="Calibri" w:hAnsi="Calibri" w:eastAsia="Microsoft YaHei"/>
      <w:color w:val="90A4AE"/>
      <w:sz w:val="20"/>
    </w:rPr>
  </w:style>
  <w:style w:type="paragraph" w:styleId="TOC1">
    <w:name w:val="toc1"/>
    <w:basedOn w:val="Normal"/>
    <w:pPr>
      <w:tabs>
        <w:tab w:val="right" w:leader="dot" w:pos="9350"/>
      </w:tabs>
      <w:spacing w:before="200" w:after="60"/>
      <w:ind w:left="0" w:firstLine="0"/>
    </w:pPr>
    <w:rPr>
      <w:rFonts w:ascii="Calibri" w:hAnsi="Calibri" w:eastAsia="Microsoft YaHei"/>
      <w:b/>
      <w:color w:val="263238"/>
    </w:rPr>
  </w:style>
  <w:style w:type="paragraph" w:styleId="TOC2">
    <w:name w:val="toc2"/>
    <w:basedOn w:val="Normal"/>
    <w:pPr>
      <w:tabs>
        <w:tab w:val="right" w:leader="dot" w:pos="9350"/>
      </w:tabs>
      <w:spacing w:before="60" w:after="60"/>
      <w:ind w:left="360" w:firstLine="0"/>
    </w:pPr>
    <w:rPr>
      <w:rFonts w:ascii="Calibri" w:hAnsi="Calibri" w:eastAsia="Microsoft YaHei"/>
      <w:color w:val="546E7A"/>
    </w:rPr>
  </w:style>
  <w:style w:type="paragraph" w:styleId="TOC3">
    <w:name w:val="toc3"/>
    <w:basedOn w:val="Normal"/>
    <w:pPr>
      <w:tabs>
        <w:tab w:val="right" w:leader="dot" w:pos="9350"/>
      </w:tabs>
      <w:spacing w:before="40" w:after="60"/>
      <w:ind w:left="720" w:firstLine="0"/>
    </w:pPr>
    <w:rPr>
      <w:rFonts w:ascii="Calibri" w:hAnsi="Calibri" w:eastAsia="Microsoft YaHei"/>
      <w:color w:val="546E7A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31cbdbfee95647ca" /><Relationship Type="http://schemas.openxmlformats.org/officeDocument/2006/relationships/numbering" Target="numbering.xml" Id="R0b1570be4911452e" /><Relationship Type="http://schemas.openxmlformats.org/officeDocument/2006/relationships/header" Target="header1.xml" Id="R7f4e15af60104c82" /><Relationship Type="http://schemas.openxmlformats.org/officeDocument/2006/relationships/footer" Target="footer1.xml" Id="R78313eb1564c43fa" /><Relationship Type="http://schemas.openxmlformats.org/officeDocument/2006/relationships/settings" Target="settings.xml" Id="R8c406aca5368444e" /></Relationships>
</file>