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tbl>
      <w:tblPr>
        <w:tblW w:type="auto" w:w="0"/>
        <w:tblLook w:firstColumn="1" w:firstRow="1" w:lastColumn="0" w:lastRow="0" w:noHBand="0" w:noVBand="1" w:val="04A0"/>
        <w:tblBorders>
          <w:top w:val="single" w:sz="0" w:color="0F5C5E"/>
          <w:left w:val="single" w:sz="0" w:color="0F5C5E"/>
          <w:bottom w:val="single" w:sz="0" w:color="0F5C5E"/>
          <w:right w:val="single" w:sz="0" w:color="0F5C5E"/>
          <w:insideH w:val="single" w:sz="0" w:color="0F5C5E"/>
          <w:insideV w:val="single" w:sz="0" w:color="0F5C5E"/>
        </w:tblBorders>
      </w:tblPr>
      <w:tblGrid>
        <w:gridCol w:w="9524"/>
      </w:tblGrid>
      <w:tr>
        <w:trPr>
          <w:trHeight w:val="170"/>
        </w:trPr>
        <w:tc>
          <w:tcPr>
            <w:tcW w:type="dxa" w:w="9524"/>
            <w:shd w:fill="0F5C5E"/>
          </w:tcPr>
          <w:p/>
        </w:tc>
      </w:tr>
    </w:tbl>
    <w:p>
      <w:pPr>
        <w:spacing w:before="480" w:after="40"/>
      </w:pPr>
      <w:r>
        <w:rPr>
          <w:rFonts w:ascii="Source Han Sans CN" w:hAnsi="Source Han Sans CN" w:eastAsia="Source Han Sans CN" w:cs="Source Han Sans CN"/>
          <w:b/>
          <w:color w:val="0A4143"/>
          <w:sz w:val="56"/>
        </w:rPr>
        <w:t>环保管家业务操作系统</w:t>
      </w:r>
    </w:p>
    <w:p>
      <w:pPr>
        <w:spacing w:after="440"/>
      </w:pPr>
      <w:r>
        <w:rPr>
          <w:rFonts w:ascii="Source Han Sans CN" w:hAnsi="Source Han Sans CN" w:eastAsia="Source Han Sans CN" w:cs="Source Han Sans CN"/>
          <w:b w:val="0"/>
          <w:color w:val="0F5C5E"/>
          <w:sz w:val="38"/>
        </w:rPr>
        <w:t>产品定义与一期范围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color="E7F2F1"/>
          <w:left w:val="single" w:sz="0" w:color="E7F2F1"/>
          <w:bottom w:val="single" w:sz="0" w:color="E7F2F1"/>
          <w:right w:val="single" w:sz="0" w:color="E7F2F1"/>
          <w:insideH w:val="single" w:sz="0" w:color="E7F2F1"/>
          <w:insideV w:val="single" w:sz="0" w:color="E7F2F1"/>
        </w:tblBorders>
      </w:tblPr>
      <w:tblGrid>
        <w:gridCol w:w="170"/>
        <w:gridCol w:w="9241"/>
      </w:tblGrid>
      <w:tr>
        <w:tc>
          <w:tcPr>
            <w:tcW w:type="dxa" w:w="4762"/>
            <w:shd w:fill="0F5C5E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4762"/>
            <w:shd w:fill="E7F2F1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pPr>
              <w:spacing w:after="0" w:line="307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21"/>
              </w:rPr>
              <w:t>核心定位：不是通用知识库，而是把多企业环保资料、结构化台账、证据检索、整改任务、服务时间线、客户门户与经营跟进连成闭环的多租户运营平台。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8D9D8"/>
          <w:left w:val="single" w:sz="4" w:color="C8D9D8"/>
          <w:bottom w:val="single" w:sz="4" w:color="C8D9D8"/>
          <w:right w:val="single" w:sz="4" w:color="C8D9D8"/>
          <w:insideH w:val="single" w:sz="4" w:color="C8D9D8"/>
          <w:insideV w:val="single" w:sz="4" w:color="C8D9D8"/>
        </w:tblBorders>
      </w:tblPr>
      <w:tblGrid>
        <w:gridCol w:w="4762"/>
        <w:gridCol w:w="4762"/>
      </w:tblGrid>
      <w:tr>
        <w:tc>
          <w:tcPr>
            <w:tcW w:type="dxa" w:w="4762"/>
            <w:tcMar>
              <w:top w:w="120" w:type="dxa"/>
              <w:start w:w="150" w:type="dxa"/>
              <w:bottom w:w="120" w:type="dxa"/>
              <w:end w:w="150" w:type="dxa"/>
            </w:tcMar>
            <w:shd w:fill="F0F6F5"/>
          </w:tcPr>
          <w:p>
            <w:pPr>
              <w:spacing w:after="0"/>
            </w:pPr>
            <w:r>
              <w:rPr>
                <w:rFonts w:ascii="Source Han Sans CN" w:hAnsi="Source Han Sans CN" w:eastAsia="Source Han Sans CN" w:cs="Source Han Sans CN"/>
                <w:b/>
                <w:color w:val="0A4143"/>
                <w:sz w:val="19"/>
              </w:rPr>
              <w:t>版本</w:t>
            </w:r>
          </w:p>
        </w:tc>
        <w:tc>
          <w:tcPr>
            <w:tcW w:type="dxa" w:w="476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9"/>
              </w:rPr>
              <w:t>v0.2 研究与范围稿</w:t>
            </w:r>
          </w:p>
        </w:tc>
      </w:tr>
      <w:tr>
        <w:tc>
          <w:tcPr>
            <w:tcW w:type="dxa" w:w="4762"/>
            <w:tcMar>
              <w:top w:w="120" w:type="dxa"/>
              <w:start w:w="150" w:type="dxa"/>
              <w:bottom w:w="120" w:type="dxa"/>
              <w:end w:w="150" w:type="dxa"/>
            </w:tcMar>
            <w:shd w:fill="F0F6F5"/>
          </w:tcPr>
          <w:p>
            <w:pPr>
              <w:spacing w:after="0"/>
            </w:pPr>
            <w:r>
              <w:rPr>
                <w:rFonts w:ascii="Source Han Sans CN" w:hAnsi="Source Han Sans CN" w:eastAsia="Source Han Sans CN" w:cs="Source Han Sans CN"/>
                <w:b/>
                <w:color w:val="0A4143"/>
                <w:sz w:val="19"/>
              </w:rPr>
              <w:t>状态</w:t>
            </w:r>
          </w:p>
        </w:tc>
        <w:tc>
          <w:tcPr>
            <w:tcW w:type="dxa" w:w="476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9"/>
              </w:rPr>
              <w:t>SCOPE_DRAFT · 待首个试点企业确认</w:t>
            </w:r>
          </w:p>
        </w:tc>
      </w:tr>
      <w:tr>
        <w:tc>
          <w:tcPr>
            <w:tcW w:type="dxa" w:w="4762"/>
            <w:tcMar>
              <w:top w:w="120" w:type="dxa"/>
              <w:start w:w="150" w:type="dxa"/>
              <w:bottom w:w="120" w:type="dxa"/>
              <w:end w:w="150" w:type="dxa"/>
            </w:tcMar>
            <w:shd w:fill="F0F6F5"/>
          </w:tcPr>
          <w:p>
            <w:pPr>
              <w:spacing w:after="0"/>
            </w:pPr>
            <w:r>
              <w:rPr>
                <w:rFonts w:ascii="Source Han Sans CN" w:hAnsi="Source Han Sans CN" w:eastAsia="Source Han Sans CN" w:cs="Source Han Sans CN"/>
                <w:b/>
                <w:color w:val="0A4143"/>
                <w:sz w:val="19"/>
              </w:rPr>
              <w:t>一期建议</w:t>
            </w:r>
          </w:p>
        </w:tc>
        <w:tc>
          <w:tcPr>
            <w:tcW w:type="dxa" w:w="476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9"/>
              </w:rPr>
              <w:t>1 家服务商 / 1 个地区 / 1 个主场景 / 3–5 家企业 / 网页端</w:t>
            </w:r>
          </w:p>
        </w:tc>
      </w:tr>
      <w:tr>
        <w:tc>
          <w:tcPr>
            <w:tcW w:type="dxa" w:w="4762"/>
            <w:tcMar>
              <w:top w:w="120" w:type="dxa"/>
              <w:start w:w="150" w:type="dxa"/>
              <w:bottom w:w="120" w:type="dxa"/>
              <w:end w:w="150" w:type="dxa"/>
            </w:tcMar>
            <w:shd w:fill="F0F6F5"/>
          </w:tcPr>
          <w:p>
            <w:pPr>
              <w:spacing w:after="0"/>
            </w:pPr>
            <w:r>
              <w:rPr>
                <w:rFonts w:ascii="Source Han Sans CN" w:hAnsi="Source Han Sans CN" w:eastAsia="Source Han Sans CN" w:cs="Source Han Sans CN"/>
                <w:b/>
                <w:color w:val="0A4143"/>
                <w:sz w:val="19"/>
              </w:rPr>
              <w:t>日期</w:t>
            </w:r>
          </w:p>
        </w:tc>
        <w:tc>
          <w:tcPr>
            <w:tcW w:type="dxa" w:w="476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9"/>
              </w:rPr>
              <w:t>2026-08-04</w:t>
            </w:r>
          </w:p>
        </w:tc>
      </w:tr>
    </w:tbl>
    <w:p>
      <w:pPr>
        <w:spacing w:before="400" w:after="0"/>
      </w:pPr>
      <w:r>
        <w:rPr>
          <w:rFonts w:ascii="Source Han Sans CN" w:hAnsi="Source Han Sans CN" w:eastAsia="Source Han Sans CN" w:cs="Source Han Sans CN"/>
          <w:b/>
          <w:color w:val="E5A33B"/>
          <w:sz w:val="18"/>
        </w:rPr>
        <w:t>设计边界</w:t>
      </w:r>
    </w:p>
    <w:p>
      <w:pPr>
        <w:spacing w:after="0"/>
      </w:pPr>
      <w:r>
        <w:rPr>
          <w:rFonts w:ascii="Source Han Sans CN" w:hAnsi="Source Han Sans CN" w:eastAsia="Source Han Sans CN" w:cs="Source Han Sans CN"/>
          <w:b w:val="0"/>
          <w:color w:val="5E6D78"/>
          <w:sz w:val="18"/>
        </w:rPr>
        <w:t>本文用于把口述需求、旧黑客松 Demo 审计和公开行业资料固化为开发基线；法规与数据合规内容不替代律师、网安机构或环保专业人员的正式意见。</w:t>
      </w:r>
      <w:r>
        <w:br w:type="page"/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 w:val="0"/>
          <w:color w:val="24323D"/>
        </w:rPr>
        <w:t>1. 结论先行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这个方向成立，但产品不应被定义为“给每家公司建一个 AI 知识库”，而应被定义为：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color="E7F2F1"/>
          <w:left w:val="single" w:sz="0" w:color="E7F2F1"/>
          <w:bottom w:val="single" w:sz="0" w:color="E7F2F1"/>
          <w:right w:val="single" w:sz="0" w:color="E7F2F1"/>
          <w:insideH w:val="single" w:sz="0" w:color="E7F2F1"/>
          <w:insideV w:val="single" w:sz="0" w:color="E7F2F1"/>
        </w:tblBorders>
      </w:tblPr>
      <w:tblGrid>
        <w:gridCol w:w="170"/>
        <w:gridCol w:w="9241"/>
      </w:tblGrid>
      <w:tr>
        <w:tc>
          <w:tcPr>
            <w:tcW w:type="dxa" w:w="4762"/>
            <w:shd w:fill="0F5C5E"/>
            <w:tcMar>
              <w:top w:w="80" w:type="dxa"/>
              <w:start w:w="0" w:type="dxa"/>
              <w:bottom w:w="80" w:type="dxa"/>
              <w:end w:w="0" w:type="dxa"/>
            </w:tcMar>
          </w:tcPr>
          <w:p/>
        </w:tc>
        <w:tc>
          <w:tcPr>
            <w:tcW w:type="dxa" w:w="4762"/>
            <w:shd w:fill="E7F2F1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pPr>
              <w:spacing w:after="0" w:line="307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24323D"/>
                <w:sz w:val="21"/>
              </w:rPr>
              <w:t>环保管家业务操作系统 + 企业客户门户。它把每家企业的原始环境资料、结构化台账、检索索引、问题与任务、服务时间线和版本化报告放进同一个可追溯工作空间。</w:t>
            </w:r>
          </w:p>
        </w:tc>
      </w:tr>
    </w:tbl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对外业务名称宜使用“企业环保管家”或“第三方环保管理服务”。“环境污染第三方治理”通常更偏治理设施建设、运营和实际污染治理；环评、监测、工程设计运维等专业服务也应在合同和系统中单列服务边界，不要自动混成一个无限责任的“环保托管包”。[R15]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推荐的产品形态是：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1. </w:t>
      </w:r>
      <w:r>
        <w:rPr>
          <w:rFonts w:ascii="Source Han Sans CN" w:hAnsi="Source Han Sans CN" w:eastAsia="Source Han Sans CN" w:cs="Source Han Sans CN"/>
          <w:b/>
          <w:color w:val="24323D"/>
          <w:sz w:val="20"/>
        </w:rPr>
        <w:t>环保服务商运营后台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：管理全部受托企业、人员、资料质量、问题、任务、期限、服务进度和续约/跟进机会。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2. </w:t>
      </w:r>
      <w:r>
        <w:rPr>
          <w:rFonts w:ascii="Source Han Sans CN" w:hAnsi="Source Han Sans CN" w:eastAsia="Source Han Sans CN" w:cs="Source Han Sans CN"/>
          <w:b/>
          <w:color w:val="24323D"/>
          <w:sz w:val="20"/>
        </w:rPr>
        <w:t>企业客户门户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：企业负责人只查看本企业资料、问题、待办、报告和近期事项，并可上传补件、反馈和确认。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3. </w:t>
      </w:r>
      <w:r>
        <w:rPr>
          <w:rFonts w:ascii="Source Han Sans CN" w:hAnsi="Source Han Sans CN" w:eastAsia="Source Han Sans CN" w:cs="Source Han Sans CN"/>
          <w:b/>
          <w:color w:val="24323D"/>
          <w:sz w:val="20"/>
        </w:rPr>
        <w:t>共享专业资料中心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：维护国家/地方政策、标准、技术规范和内部 SOP，按地区、行业、有效期和版本管理。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4. </w:t>
      </w:r>
      <w:r>
        <w:rPr>
          <w:rFonts w:ascii="Source Han Sans CN" w:hAnsi="Source Han Sans CN" w:eastAsia="Source Han Sans CN" w:cs="Source Han Sans CN"/>
          <w:b/>
          <w:color w:val="24323D"/>
          <w:sz w:val="20"/>
        </w:rPr>
        <w:t>合作伙伴工作台（后置）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：合作伙伴只能访问被分配的企业和被授权的操作，访问有期限并全量留痕。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5. </w:t>
      </w:r>
      <w:r>
        <w:rPr>
          <w:rFonts w:ascii="Source Han Sans CN" w:hAnsi="Source Han Sans CN" w:eastAsia="Source Han Sans CN" w:cs="Source Han Sans CN"/>
          <w:b/>
          <w:color w:val="24323D"/>
          <w:sz w:val="20"/>
        </w:rPr>
        <w:t>小程序（后置）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：用于查看、提醒、拍照上传、确认任务；复杂资料复核仍以网页为主。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当前目录名是“安环项目”，但本轮口述确认的业务集中在环保托管。一期不应顺手扩成完整安全生产/EHS 系统。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 w:val="0"/>
          <w:color w:val="24323D"/>
        </w:rPr>
        <w:t>2. 口述内容中已经确认的需求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环保服务公司采用持续托管模式，而不是只交付一次报告。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服务人员替企业收集、整理和维护多格式环境资料与台账。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输入包括 Office 文件、电子 PDF、扫描 PDF、图片和可能的历史纸质资料。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每家企业需要独立资料空间，并进行分类、搜索和后续更新。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除企业专属资料外，还需要共享的国家、地方政策与专业资料库。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企业负责人只能查看本企业情况。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服务商管理员需要跨企业查看问题、进度和后续业务跟进情况。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后续存在合作伙伴制度，合作伙伴只能查看其负责的企业。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每家企业需要未来事项提醒和历史服务时间线。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首期以网页为主，后续再考虑小程序。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尚未确认：首个地区和行业、企业数量、资料规模、托管服务清单、报告模板、真实数据授权、专家角色、验收方法、部署地点、预算与工期。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 w:val="0"/>
          <w:color w:val="24323D"/>
        </w:rPr>
        <w:t>3. 与行业做法的匹配度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这个模式不是凭空设想。现有公开实践已经出现以下共性：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“环保管家”被定义为专业化、定制化的第三方环境综合服务，并强调全过程服务和问题解决。[R1]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现行地方标准已把服务团队、服务流程、服务内容、绩效评价和服务成果纳入规范范围。[R2]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公开实践明确提出“一企一档”、纸质与电子档案、定期更新、运行台账、月报/季报、培训和问题跟踪。[R3]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浦东 2024 年指导意见把环境档案、巡查填报、问题整改闭环、宣传培训和任务落实列为信息平台基础功能，并要求动态管理与服务机构考核。[R4]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上海示范项目公开呈现过“统一纳入区级信息平台”“摸底建库、数智协控”“企业环保标签式动态管理”等模式。[R5]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因此，用户提出的企业列表、状态展示、动态跟进和企业独立门户方向是合理的。真正的差异化不在“有知识库”，而在于能否把专业人员的托管流程标准化、留下证据，并证明服务持续产生了结果。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3.1 行业做法对应的标准服务流程</w:t>
      </w:r>
    </w:p>
    <w:p>
      <w:pPr>
        <w:shd w:fill="F4F7F7"/>
      </w:pPr>
      <w:r>
        <w:rPr>
          <w:rFonts w:ascii="Source Han Sans CN" w:hAnsi="Source Han Sans CN" w:eastAsia="Source Han Sans CN" w:cs="Source Han Sans CN"/>
          <w:b w:val="0"/>
          <w:color w:val="0A4143"/>
          <w:sz w:val="21"/>
        </w:rPr>
        <w:t>签约/授权/保密 -&gt; 企业与厂区建档 -&gt; 资料收集与缺口盘点 -&gt; 基线诊断 -&gt; 义务与巡查计划 -&gt; 发现项 -&gt; 整改任务 -&gt; 企业整改 -&gt; 顾问复查 -&gt; 专家确认 -&gt; 报告/日历/持续更新 -&gt; 服务终止时完整移交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平台应覆盖这条完整链路，而不是只覆盖“上传文件—AI 问答”。企业仍承担环保主体责任；服务商需要明确受托事项、责任边界、信息保密、成果交接和外部专业服务的衔接方式。[R15][R16]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3.2 法规库必须处理“时间状态”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法规不能按“发布时间最新”直接认定为当前有效。记录至少区分：已公布未施行、当前有效、即将废止、已废止、地方文件待复核，并保存新旧条文映射。尤其是《中华人民共和国生态环境法典》已公布、将于 2026-08-15 施行，这类切换期正是普通文档库最容易给出错误答案的场景。[R17]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 w:val="0"/>
          <w:color w:val="24323D"/>
        </w:rPr>
        <w:t>4. 必须修正的五个产品认知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4.1 “企业知识库”应改成“企业环境档案空间”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知识库只是检索层。正式产品必须同时保存：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1.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不可被派生文本替代的原始文件。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2.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带页码/坐标/置信度的 OCR 与版面解析结果。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3.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人工确认后的结构化台账和关键字段。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4.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用于搜索与问答的关键词和向量索引。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5.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由证据产生的问题、任务、报告和审计记录。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4.2 不建议继续使用一个“综合合规分”代表企业状态</w:t>
      </w:r>
    </w:p>
    <w:p>
      <w:pPr>
        <w:shd w:fill="F4F7F7"/>
      </w:pPr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 xml:space="preserve">旧 Demo 的固定 </w:t>
      </w:r>
      <w:r>
        <w:rPr>
          <w:rFonts w:ascii="Source Code Pro" w:hAnsi="Source Code Pro" w:eastAsia="Source Code Pro" w:cs="Source Code Pro"/>
          <w:b w:val="0"/>
          <w:color w:val="0A4143"/>
          <w:sz w:val="21"/>
        </w:rPr>
        <w:t>60/100</w:t>
      </w:r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 xml:space="preserve"> 容易制造确定性。正式版先拆成三个独立指标：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资料完整度：已收集、缺失、过期、待复核。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服务执行度：待办、逾期、已完成、待企业反馈。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专家确认风险：高/中/低/无法判断，必须能展开到证据。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只有建立稳定规则和足够 Gold 样本后，才考虑对外展示综合指数。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4.3 “发现问题”与“营销机会”必须分开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合规发现属于专业服务记录；商业跟进属于 CRM 记录。建议采用：</w:t>
      </w:r>
    </w:p>
    <w:p>
      <w:pPr>
        <w:shd w:fill="F4F7F7"/>
      </w:pPr>
      <w:r>
        <w:rPr>
          <w:rFonts w:ascii="Source Han Sans CN" w:hAnsi="Source Han Sans CN" w:eastAsia="Source Han Sans CN" w:cs="Source Han Sans CN"/>
          <w:b w:val="0"/>
          <w:color w:val="0A4143"/>
          <w:sz w:val="21"/>
        </w:rPr>
        <w:t>发现项 -&gt; 人工确认 -&gt; 转为服务机会 -&gt; 跟进 -&gt; 方案/签约/关闭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不能让 AI 自动把企业问题变成营销名单，也不能默认把企业资料开放给合作伙伴。企业合同、隐私告知和授权范围必须支持这种用途。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4.4 时间线要拆成“未来日历”和“历史轨迹”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/>
          <w:color w:val="24323D"/>
          <w:sz w:val="20"/>
        </w:rPr>
        <w:t>合规/服务日历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回答“接下来要做什么”：许可证到期、监测、台账、报告、补件、复核、现场服务。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/>
          <w:color w:val="24323D"/>
          <w:sz w:val="20"/>
        </w:rPr>
        <w:t>审计时间线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回答“过去发生了什么”：上传、版本变更、检查、问题发现、任务完成、专家确认、报告签发、客户反馈。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4.5 平台不能替代企业主体责任和官方申报系统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排污单位仍需对许可申请、监测、台账和执行报告负责；全国排污许可证管理信息平台是官方申报与公开入口。[R6][R7] 本产品负责准备、检查、提醒、复核和服务留痕，不自动承诺企业“合规”，也不在一期自动代替政府申报。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 w:val="0"/>
          <w:color w:val="24323D"/>
        </w:rPr>
        <w:t>5. 产品结构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平台按四个业务域组织，不能混成一个无边界 RAG 库：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8D9D8"/>
          <w:left w:val="single" w:sz="6" w:color="C8D9D8"/>
          <w:bottom w:val="single" w:sz="6" w:color="C8D9D8"/>
          <w:right w:val="single" w:sz="6" w:color="C8D9D8"/>
          <w:insideH w:val="single" w:sz="6" w:color="C8D9D8"/>
          <w:insideV w:val="single" w:sz="6" w:color="C8D9D8"/>
        </w:tblBorders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业务域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核心内容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权限边界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企业资料域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法人、厂区、“一企一档”、原件、OCR、分类、版本和关键台账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企业强隔离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通用法规域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国家/省/市政策、标准、技术规范、版本与适用范围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公共或受控共享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合规运营域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义务、巡查、发现项、整改、复查、日历、报告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按企业与职责授权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服务经营域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客户组合、工作量、服务机会、续约、伙伴跟进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服务商内部；与专业结论分离</w:t>
            </w:r>
          </w:p>
        </w:tc>
      </w:tr>
    </w:tbl>
    <w:p>
      <w:pPr>
        <w:spacing w:after="0"/>
      </w:pPr>
    </w:p>
    <w:p>
      <w:pPr>
        <w:pStyle w:val="Heading2"/>
      </w:pPr>
      <w:r>
        <w:t>业务关系（文字版）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8D9D8"/>
          <w:left w:val="single" w:sz="6" w:color="C8D9D8"/>
          <w:bottom w:val="single" w:sz="6" w:color="C8D9D8"/>
          <w:right w:val="single" w:sz="6" w:color="C8D9D8"/>
          <w:insideH w:val="single" w:sz="6" w:color="C8D9D8"/>
          <w:insideV w:val="single" w:sz="6" w:color="C8D9D8"/>
        </w:tblBorders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入口 / 资料源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进入平台后的结果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环保服务商运营后台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跨企业服务总览、分工、质量与经营跟进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企业客户门户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仅本企业资料、问题、待办、报告与反馈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合作伙伴工作台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仅授权期内被分配企业的允许内容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企业档案 + 共享法规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权限过滤后检索，形成带页码证据的发现项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发现项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整改任务、服务日历、专家复核与版本化报告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人工确认的发现项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可另行转为服务机会，不改变专业结论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5.1 环保服务商运营后台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首页不是简单风险排行，而是跨企业服务运营视图：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企业名称、行业、地区、厂区、管理类别。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资料完整度、待复核文件、最近更新时间。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高优先级发现项、逾期任务、下一关键日期。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当前顾问、专家、合作伙伴和客户联系人。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最近现场服务、最新报告、企业反馈状态。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合同/服务阶段与已人工确认的服务机会。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按负责人、地区、行业、风险、逾期和资料状态筛选。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5.2 企业工作空间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每家企业使用相同导航：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1.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总览。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2.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企业与厂区档案。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3.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资料中心。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4.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证照与关键台账。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5.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发现项。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6.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任务与日历。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7.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报告。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8.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服务时间线。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9.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企业用户与权限。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10.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内部跟进（仅服务商可见）。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5.3 企业客户门户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企业负责人默认看到：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本企业当前资料状态。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近期必须处理的事项。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待补资料、待确认问题和逾期任务。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已复核报告与历史版本。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服务人员最近更新和下一次服务安排。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企业客户不应看到服务商内部评价、利润、销售备注、其他企业、模型内部参数或未复核草稿。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5.4 共享专业资料中心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至少分成三个库：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/>
          <w:color w:val="24323D"/>
          <w:sz w:val="20"/>
        </w:rPr>
        <w:t>法规政策库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：国家/地方政策、法律法规、排放标准、技术规范和办事指南。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/>
          <w:color w:val="24323D"/>
          <w:sz w:val="20"/>
        </w:rPr>
        <w:t>内部方法库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：服务 SOP、检查清单、报告模板、分类规则和培训材料。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/>
          <w:color w:val="24323D"/>
          <w:sz w:val="20"/>
        </w:rPr>
        <w:t>匿名案例库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：经授权并脱敏的历史问题和处理经验。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法规记录必须包含来源链接、发布机构、地区、行业、发布日、施行日、失效/替代关系、版本和专家确认状态。不能只保存一段 AI 摘要。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 w:val="0"/>
          <w:color w:val="24323D"/>
        </w:rPr>
        <w:t>6. 文档入库与搜索准确性方案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6.1 一期处理流水线</w:t>
      </w:r>
    </w:p>
    <w:p>
      <w:pPr>
        <w:shd w:fill="F4F7F7"/>
      </w:pPr>
      <w:r>
        <w:rPr>
          <w:rFonts w:ascii="Source Han Sans CN" w:hAnsi="Source Han Sans CN" w:eastAsia="Source Han Sans CN" w:cs="Source Han Sans CN"/>
          <w:b w:val="0"/>
          <w:color w:val="0A4143"/>
          <w:sz w:val="21"/>
        </w:rPr>
        <w:t>上传 -&gt; 安全检查 -&gt; 原件保存/哈希 -&gt; 原生文本抽取 -&gt; 图像页 OCR -&gt; 版面与表格解析 -&gt; 文件分类 -&gt; 字段抽取 -&gt; 低置信度人工复核 -&gt; 建索引 -&gt; 可搜索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原则：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Office 和可搜索 PDF 优先抽取原生文本，避免无意义地二次 OCR。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XLS/XLSX 应保留工作表、单元格范围、公式与显示值，证据位置使用“工作表 + 单元格范围”，不能虚构页码。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DOCX/PPTX 等非分页稳定格式可同时生成标准化 PDF，作为视觉复核和引用载体。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扫描页保留页图、文字坐标、表格结构、置信度和 OCR 引擎版本。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低清、倾斜、模糊、缺页、密码保护和超大文件在入口明确报错或进入重扫队列。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原件、解析结果、人工修订和索引分别版本化；索引可重建，原件不能被覆盖。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人工修订生成新的派生版本并记录修改人和原因，不覆盖 OCR 初始结果。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文档智能解析通常需要同时处理文本、表格、勾选项、标题和版面结构，而不只是输出一段纯文本。[R12]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质量门分为六层：文件完整性/恶意文件、页面可读性、版面与表格、资料分类、关键业务字段、人工复核。企业名、统一社会信用代码、许可证号、日期、限值、单位、签章等高风险字段不能只看模型平均置信度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6.2 推荐元数据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每份文件至少记录：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企业、厂区、服务项目。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文件类型、业务主题、来源渠道。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文件日期、有效期、到期日、版本。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地区、行业、许可证/项目编号。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原件/复印件/扫描件、签章情况、保密等级。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上传人、复核人、当前状态。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原件哈希、页数、解析状态、OCR 质量。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6.3 检索策略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只做向量搜索不够。环保资料含大量精确编号、标准号、日期、污染物和设备名称，一期应采用：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1.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元数据和权限过滤。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2.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关键词/BM25 检索精确编号和术语。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3.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向量检索处理同义表达和自然语言问题。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4.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结果融合后重排。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5.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返回原文、页码、坐标、文件版本和来源库。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成熟搜索系统通常将全文 BM25 与向量结果组合，并在候选结果上执行语义重排。[R13]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企业资料库、法规库和内部方法库分别检索，再由服务端合并结果并清楚标注来源。任何检索都必须先应用企业/角色权限，不能先跨企业搜索再在页面隐藏结果。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6.4 准确率不是一个数字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一期建立按文件类型分层的 Gold 集，至少覆盖：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可搜索 PDF。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清晰扫描 PDF。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低清/倾斜/盖章扫描件。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表格型台账。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许可证、批复、检测报告和运行记录。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建议试点指标（上线前再用真实样本校准）：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8D9D8"/>
          <w:left w:val="single" w:sz="6" w:color="C8D9D8"/>
          <w:bottom w:val="single" w:sz="6" w:color="C8D9D8"/>
          <w:right w:val="single" w:sz="6" w:color="C8D9D8"/>
          <w:insideH w:val="single" w:sz="6" w:color="C8D9D8"/>
          <w:insideV w:val="single" w:sz="6" w:color="C8D9D8"/>
        </w:tblBorders>
      </w:tblPr>
      <w:tblGrid>
        <w:gridCol w:w="4762"/>
        <w:gridCol w:w="4762"/>
      </w:tblGrid>
      <w:tr>
        <w:trPr>
          <w:cantSplit/>
          <w:tblHeader w:val="true"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一期建议目标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文件入库成功率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&gt;= 95%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专家标注问题的 Recall@10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&gt;= 90%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引用落到正确文件与页码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&gt;= 95%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关键字段进入正式报告前人工复核覆盖率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100%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严重跨企业数据泄漏测试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冻结版本报告可重复生成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100%</w:t>
            </w:r>
          </w:p>
        </w:tc>
      </w:tr>
    </w:tbl>
    <w:p>
      <w:pPr>
        <w:spacing w:after="0"/>
      </w:pP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OCR 的字/词错误率、字段准确率、文件分类准确率、检索召回和引用准确率必须分别统计。模型置信度用于分流人工复核，不能直接等于真实准确率。[R14]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除上述业务目标外，还应持续记录 OCR 字符错误率、关键字段精确率/召回率、表格单元格准确率、Candidate Recall@20/50、正确拒答率、人工修改率、p95 延迟以及每页入库成本。约 20% Gold 样本应保留为盲测集，避免只在已调参样本上看起来“很准”。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 w:val="0"/>
          <w:color w:val="24323D"/>
        </w:rPr>
        <w:t>7. 角色与权限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采用“角色 + 数据范围 + 临时授权”组合，而不是只写几个前端菜单。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8D9D8"/>
          <w:left w:val="single" w:sz="6" w:color="C8D9D8"/>
          <w:bottom w:val="single" w:sz="6" w:color="C8D9D8"/>
          <w:right w:val="single" w:sz="6" w:color="C8D9D8"/>
          <w:insideH w:val="single" w:sz="6" w:color="C8D9D8"/>
          <w:insideV w:val="single" w:sz="6" w:color="C8D9D8"/>
        </w:tblBorders>
      </w:tblPr>
      <w:tblGrid>
        <w:gridCol w:w="2381"/>
        <w:gridCol w:w="2381"/>
        <w:gridCol w:w="2381"/>
        <w:gridCol w:w="2381"/>
      </w:tblGrid>
      <w:tr>
        <w:trPr>
          <w:cantSplit/>
          <w:tblHeader w:val="true"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默认数据范围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主要能力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默认禁止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平台技术管理员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系统级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配置、运维、账号、审计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无业务结论权限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服务商管理员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全部受托企业摘要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分配人员、看经营/服务总览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原始资料默认不可见；不替专家确认结论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环保顾问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被分配企业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资料、发现项、任务、服务记录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查看未分配企业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专家复核人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被分配企业/专题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通过、驳回、无法判断、意见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商业跟进和客户定价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合作伙伴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被分配企业且在授权期内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查看允许内容、记录跟进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全局搜索、批量导出、编辑专业结论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企业负责人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本企业/厂区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查看、上传、确认、分派企业内部任务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服务商内部备注和其他企业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企业协作者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本企业限定模块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上传、补件、处理任务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用户管理、正式报告签发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销售/运营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经人工转化的商机层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跟进、方案、续约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原始资料、个人信息、修改专业严重度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审计查看者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指定范围只读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查看版本与操作记录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修改业务数据</w:t>
            </w:r>
          </w:p>
        </w:tc>
      </w:tr>
    </w:tbl>
    <w:p>
      <w:pPr>
        <w:spacing w:after="0"/>
      </w:pPr>
    </w:p>
    <w:p>
      <w:pPr>
        <w:shd w:fill="F4F7F7"/>
      </w:pPr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 xml:space="preserve">数据库层建议对核心业务表启用行级安全策略；PostgreSQL RLS 可以按用户限制可读取和修改的行，并在没有匹配策略时默认拒绝。[R11] 应用账号不得是表所有者、超级用户或拥有 </w:t>
      </w:r>
      <w:r>
        <w:rPr>
          <w:rFonts w:ascii="Source Code Pro" w:hAnsi="Source Code Pro" w:eastAsia="Source Code Pro" w:cs="Source Code Pro"/>
          <w:b w:val="0"/>
          <w:color w:val="0A4143"/>
          <w:sz w:val="21"/>
        </w:rPr>
        <w:t>BYPASSRLS</w:t>
      </w:r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。应用层还要做对象存储路径、搜索索引、预览、计数/聚合、缓存、导出和后台任务的同范围校验；不能信任浏览器传入的企业 ID。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 w:val="0"/>
          <w:color w:val="24323D"/>
        </w:rPr>
        <w:t>8. 合作伙伴制度的处理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合作伙伴模式会显著放大越权和商业边界问题，因此建议：</w:t>
      </w:r>
    </w:p>
    <w:p>
      <w:pPr>
        <w:pStyle w:val="ScopeBullet"/>
        <w:shd w:fill="F4F7F7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 xml:space="preserve">一期数据模型预留 </w:t>
      </w:r>
      <w:r>
        <w:rPr>
          <w:rFonts w:ascii="Source Code Pro" w:hAnsi="Source Code Pro" w:eastAsia="Source Code Pro" w:cs="Source Code Pro"/>
          <w:b w:val="0"/>
          <w:color w:val="0A4143"/>
          <w:sz w:val="20"/>
        </w:rPr>
        <w:t>partner_assignment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，但不立即开发完整佣金和结算系统。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授权必须绑定企业、厂区、模块、操作、起止时间和授权人。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默认只能查看摘要，下载原件和导出报告需要单独权限。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合作伙伴跟进备注与环保专业结论分开保存。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合作终止后自动失效，并保留历史操作记录。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企业员工联系方式等个人信息若用于新的营销目的，需要重新评估处理依据、告知和权限边界。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 w:val="0"/>
          <w:color w:val="24323D"/>
        </w:rPr>
        <w:t>9. 数据与合规底线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企业资料可能包含联系人、身份证明、签字、员工记录和设备/生产信息，应先做数据分类分级。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《个人信息保护法》要求目的明确、与目的直接相关和最小范围收集；将资料从“环保托管”改用于合作伙伴营销不能默认视为同一用途。[R8]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《网络数据安全管理条例》自 2025-01-01 起施行，要求按数据重要程度和泄露危害实施分类分级保护。[R9]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分类名称可衔接 GB/T 43697-2024、HJ 417-2025 和 GB/T 45408-2025；“重要数据”先设为待识别状态，不由产品团队凭感觉认定。[R18][R19][R20]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合同应明确企业、环保服务商、云/OCR/模型供应商、合作伙伴分别是何种数据处理角色，以及服务终止后的导出、返还、删除和留存规则。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真实客户资料默认在境内处理，未经审批不得进入供应商训练集；第三方 OCR、模型、日志和客服工具都要进入供应商清单。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管理员和合作伙伴启用 MFA；所有搜索、查看、下载、导出、上传、OCR 修改、权限变更、临时提权和报告签发均进入审计记录。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平台安全管理员默认不浏览业务原件；确需处理事故时采用绑定企业、理由和时限的临时提权。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正式上线前评估 ICP 备案、网络安全等级保护、日志留存、备份恢复、数据出境和第三方模型调用要求；具体等级和义务由专业机构结合部署与业务判定。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第三方环保服务机构存在出具虚假报告等执法案例，因此系统必须保留原件、修改人、复核人、规则版本和报告版本，AI 不得覆盖原始证据。[R10]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 w:val="0"/>
          <w:color w:val="24323D"/>
        </w:rPr>
        <w:t>10. 企业时间线和服务闭环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统一事件模型至少支持：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8D9D8"/>
          <w:left w:val="single" w:sz="6" w:color="C8D9D8"/>
          <w:bottom w:val="single" w:sz="6" w:color="C8D9D8"/>
          <w:right w:val="single" w:sz="6" w:color="C8D9D8"/>
          <w:insideH w:val="single" w:sz="6" w:color="C8D9D8"/>
          <w:insideV w:val="single" w:sz="6" w:color="C8D9D8"/>
        </w:tblBorders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事件类型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是否需要负责人/期限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法定/许可日期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许可证到期、执行报告、监测频次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资料事件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上传、补件、版本替换、过期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视情况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现场服务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巡检、培训、采样、会议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发现项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缺证、矛盾、异常、待专家确认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整改任务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补文件、整改、复测、复核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专家事件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通过、驳回、无法判断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报告事件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草稿、冻结、签发、作废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客户互动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已通知、已反馈、已确认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是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商业跟进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机会、方案、签约、关闭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是；仅内部</w:t>
            </w:r>
          </w:p>
        </w:tc>
      </w:tr>
    </w:tbl>
    <w:p>
      <w:pPr>
        <w:spacing w:after="0"/>
      </w:pP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提醒支持负责人、提前天数、重复规则、升级路径和完成证据。系统不能只发提醒，还要知道“谁负责、为何到期、完成证据是什么”。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 w:val="0"/>
          <w:color w:val="24323D"/>
        </w:rPr>
        <w:t>11. 一期范围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11.1 建议范围</w:t>
      </w:r>
    </w:p>
    <w:p>
      <w:pPr>
        <w:shd w:fill="F4F7F7"/>
      </w:pPr>
      <w:r>
        <w:rPr>
          <w:rFonts w:ascii="Source Han Sans CN" w:hAnsi="Source Han Sans CN" w:eastAsia="Source Han Sans CN" w:cs="Source Han Sans CN"/>
          <w:b w:val="0"/>
          <w:color w:val="0A4143"/>
          <w:sz w:val="21"/>
        </w:rPr>
        <w:t>1 家环保服务商 + 1 个地区 + 1 个主行业/服务场景 + 3-5 家试点企业 + 网页端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一期必须包含：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1.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登录、用户、企业和厂区。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2.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服务商管理员、顾问、企业负责人三类核心角色。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3.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企业隔离和操作审计。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4.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多格式上传、原件存储、解析/OCR 状态和失败队列。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5.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文件分类、关键元数据和人工修订。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6.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企业资料与共享法规的分库检索，返回页码证据。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7.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企业列表、企业总览、资料中心。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8.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发现项、任务、日历和历史时间线。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9.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企业门户的查看、补件和确认。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10.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基于冻结版本生成试点报告。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11.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Gold 样本与检索/抽取回归测试。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11.2 一期明确不做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完整安全生产/EHS。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自动政府申报、自动换证和自动提交执行报告。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在线监测或 IoT 接入。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无人工复核的正式合规判断。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开放注册、复杂计费和大规模 SaaS。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完整合作伙伴佣金/结算。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小程序完整功能。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全国全部行业和地方政策自动适用判断。</w:t>
      </w:r>
    </w:p>
    <w:p>
      <w:pPr>
        <w:pStyle w:val="Heading2"/>
      </w:pPr>
      <w:r>
        <w:rPr>
          <w:rFonts w:ascii="Source Han Sans CN" w:hAnsi="Source Han Sans CN" w:eastAsia="Source Han Sans CN" w:cs="Source Han Sans CN"/>
          <w:b w:val="0"/>
          <w:color w:val="24323D"/>
        </w:rPr>
        <w:t>11.3 分期建议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C8D9D8"/>
          <w:left w:val="single" w:sz="6" w:color="C8D9D8"/>
          <w:bottom w:val="single" w:sz="6" w:color="C8D9D8"/>
          <w:right w:val="single" w:sz="6" w:color="C8D9D8"/>
          <w:insideH w:val="single" w:sz="6" w:color="C8D9D8"/>
          <w:insideV w:val="single" w:sz="6" w:color="C8D9D8"/>
        </w:tblBorders>
      </w:tblPr>
      <w:tblGrid>
        <w:gridCol w:w="3175"/>
        <w:gridCol w:w="3175"/>
        <w:gridCol w:w="3175"/>
      </w:tblGrid>
      <w:tr>
        <w:trPr>
          <w:cantSplit/>
          <w:tblHeader w:val="true"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0F5C5E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/>
                <w:color w:val="FFFFFF"/>
                <w:sz w:val="16"/>
              </w:rPr>
              <w:t>主要产出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0. 范围与数据基线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选试点、拿授权、建立 Gold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业务流程、数据字典、样本、验收指标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1. 内部可用版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服务人员真实使用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企业档案、OCR、搜索、任务、时间线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2. 客户 UAT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企业负责人参与闭环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企业门户、补件、确认、报告版本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3. 有限生产试点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稳定运行与安全验证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8"/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权限审计、备份、监控、服务考核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4. 扩展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经试点验证后扩张</w:t>
            </w:r>
          </w:p>
        </w:tc>
        <w:tc>
          <w:tcPr>
            <w:tcW w:type="dxa" w:w="317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Source Han Sans CN" w:hAnsi="Source Han Sans CN" w:eastAsia="Source Han Sans CN" w:cs="Source Han Sans CN"/>
                <w:b w:val="0"/>
                <w:color w:val="24323D"/>
                <w:sz w:val="16"/>
              </w:rPr>
              <w:t>合作伙伴、小程序、更多行业和地区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Source Han Sans CN" w:hAnsi="Source Han Sans CN" w:eastAsia="Source Han Sans CN" w:cs="Source Han Sans CN"/>
          <w:b w:val="0"/>
          <w:color w:val="24323D"/>
        </w:rPr>
        <w:t>12. 技术实现原则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一期用模块化单体，不拆微服务：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React/TypeScript 网页端，复用旧 Demo 的视觉语言但重写数据链路。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一个正式 API 服务，所有 AI、OCR、搜索和权限请求走服务端。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PostgreSQL 保存企业、权限、文档元数据、发现项、任务、报告版本和审计事件。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对象存储保存原件、页图和派生文件，使用哈希、版本和签名访问。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一个后台 Worker 处理 OCR、分类、索引和报告任务。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一期采用一个同时支持 BM25 与向量检索的搜索引擎，并在检索时强制注入 ACL 过滤；不额外引入知识图谱、消息总线或独立向量库。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搜索索引是可重建派生层，原始事实始终来自原件和人工确认数据。</w:t>
      </w:r>
    </w:p>
    <w:p>
      <w:pPr>
        <w:pStyle w:val="ScopeBullet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OCR/模型选择必须先用真实脱敏 Gold 样本比较本地方案和合规可用的云服务，再决定采购。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 w:val="0"/>
          <w:color w:val="24323D"/>
        </w:rPr>
        <w:t>13. 下一次与对方确认的十个问题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1.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首批企业大约多少家，是否已有愿意试点的客户？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2.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首个行业、地区、厂区和托管服务项目是什么？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3.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目前从收资料到月报/季报/整改跟踪的真实人工流程是什么？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4.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最常见的十类文件、文件量、页数和扫描质量如何？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5.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企业老板最关心的三个结果是什么？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6.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管理后台最先要解决的三个管理问题是什么？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7.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哪些人能作专业结论，哪些结论必须复核或签字？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8.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企业资料能否用于模型/OCR，是否要求本地或境内处理？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9.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合作伙伴在一期是否真的需要登录，还是先由内部人员代管？</w:t>
      </w:r>
    </w:p>
    <w:p>
      <w:pPr>
        <w:pStyle w:val="ScopeNumber"/>
      </w:pPr>
      <w:r>
        <w:rPr>
          <w:rFonts w:ascii="Source Han Sans CN" w:hAnsi="Source Han Sans CN" w:eastAsia="Source Han Sans CN" w:cs="Source Han Sans CN"/>
          <w:b/>
          <w:color w:val="0F5C5E"/>
          <w:sz w:val="20"/>
        </w:rPr>
        <w:t xml:space="preserve">10. </w:t>
      </w:r>
      <w:r>
        <w:rPr>
          <w:rFonts w:ascii="Source Han Sans CN" w:hAnsi="Source Han Sans CN" w:eastAsia="Source Han Sans CN" w:cs="Source Han Sans CN"/>
          <w:b w:val="0"/>
          <w:color w:val="24323D"/>
          <w:sz w:val="20"/>
        </w:rPr>
        <w:t>一期验收终点是内部可用、客户 UAT，还是正式生产运行？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 w:val="0"/>
          <w:color w:val="24323D"/>
        </w:rPr>
        <w:t>14. 当前建议的决策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一期按“环保托管运营平台”而不是“通用安环/EHS”立项；先服务环保服务公司的真实交付流程，再开放企业门户；合作伙伴权限在数据模型中预留、完整界面后置；小程序只在网页试点稳定后建设。</w:t>
      </w:r>
    </w:p>
    <w:p>
      <w:r>
        <w:rPr>
          <w:rFonts w:ascii="Source Han Sans CN" w:hAnsi="Source Han Sans CN" w:eastAsia="Source Han Sans CN" w:cs="Source Han Sans CN"/>
          <w:b w:val="0"/>
          <w:color w:val="24323D"/>
          <w:sz w:val="21"/>
        </w:rPr>
        <w:t>正式编码前，只需要再冻结四件事：首个试点、首个行业/地区、首批文件与授权、一期验收终点。</w:t>
      </w:r>
    </w:p>
    <w:p>
      <w:pPr>
        <w:pStyle w:val="Heading1"/>
      </w:pPr>
      <w:r>
        <w:rPr>
          <w:rFonts w:ascii="Source Han Sans CN" w:hAnsi="Source Han Sans CN" w:eastAsia="Source Han Sans CN" w:cs="Source Han Sans CN"/>
          <w:b w:val="0"/>
          <w:color w:val="24323D"/>
        </w:rPr>
        <w:t>15. 公开资料来源</w:t>
      </w:r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[R1] </w:t>
      </w:r>
      <w:hyperlink r:id="rId12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浦东新区关于推进环保管家服务工作的指导意见（2024）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[R2] </w:t>
      </w:r>
      <w:hyperlink r:id="rId13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全国标准信息公共服务平台：DB3502/T 099-2023 工业园区环保管家服务指南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[R3] </w:t>
      </w:r>
      <w:hyperlink r:id="rId14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江门市生态环境局：VOCs 企业环保管家工作内容与“一企一档”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[R4] </w:t>
      </w:r>
      <w:hyperlink r:id="rId12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浦东新区环保管家信息化管理要求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[R5] </w:t>
      </w:r>
      <w:hyperlink r:id="rId15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上海市第二批第三方环保服务示范项目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[R6] </w:t>
      </w:r>
      <w:hyperlink r:id="rId16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生态环境部：排污许可管理办法（2024）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[R7] </w:t>
      </w:r>
      <w:hyperlink r:id="rId17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全国排污许可证管理信息平台公开端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[R8] </w:t>
      </w:r>
      <w:hyperlink r:id="rId18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中央网信办：中华人民共和国个人信息保护法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[R9] </w:t>
      </w:r>
      <w:hyperlink r:id="rId19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中国政府网：网络数据安全管理条例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[R10] </w:t>
      </w:r>
      <w:hyperlink r:id="rId20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生态环境部：打击第三方环保服务机构弄虚作假典型案例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[R11] </w:t>
      </w:r>
      <w:hyperlink r:id="rId21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PostgreSQL 18：Row Security Policies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[R12] </w:t>
      </w:r>
      <w:hyperlink r:id="rId22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Microsoft Document Intelligence：文档版面分析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[R13] </w:t>
      </w:r>
      <w:hyperlink r:id="rId23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Elastic：Ranking and reranking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[R14] </w:t>
      </w:r>
      <w:hyperlink r:id="rId24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Microsoft：Document Intelligence 准确率与置信度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[R15] </w:t>
      </w:r>
      <w:hyperlink r:id="rId25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长三角生态绿色一体化发展示范区：生态环境管理第三方服务规范（2024 修订）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[R16] </w:t>
      </w:r>
      <w:hyperlink r:id="rId26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生态环境部：关于推进环境污染第三方治理的实施意见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[R17] </w:t>
      </w:r>
      <w:hyperlink r:id="rId27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生态环境部：中华人民共和国生态环境法典全文与施行日期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[R18] </w:t>
      </w:r>
      <w:hyperlink r:id="rId28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全国标准信息公共服务平台：GB/T 43697-2024 数据分类分级规则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[R19] </w:t>
      </w:r>
      <w:hyperlink r:id="rId29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生态环境部：HJ 417-2025 生态环境信息分类与代码</w:t>
        </w:r>
      </w:hyperlink>
    </w:p>
    <w:p>
      <w:pPr>
        <w:pStyle w:val="ScopeBullet"/>
        <w:spacing w:after="20" w:line="252" w:lineRule="auto"/>
      </w:pPr>
      <w:r>
        <w:rPr>
          <w:rFonts w:ascii="Source Han Sans CN" w:hAnsi="Source Han Sans CN" w:eastAsia="Source Han Sans CN" w:cs="Source Han Sans CN"/>
          <w:b/>
          <w:color w:val="0F5C5E"/>
          <w:sz w:val="16"/>
        </w:rPr>
        <w:t xml:space="preserve">• </w:t>
      </w:r>
      <w:r>
        <w:rPr>
          <w:rFonts w:ascii="Source Han Sans CN" w:hAnsi="Source Han Sans CN" w:eastAsia="Source Han Sans CN" w:cs="Source Han Sans CN"/>
          <w:b w:val="0"/>
          <w:color w:val="24323D"/>
          <w:sz w:val="16"/>
        </w:rPr>
        <w:t xml:space="preserve">[R20] </w:t>
      </w:r>
      <w:hyperlink r:id="rId30">
        <w:r>
          <w:rPr>
            <w:rFonts w:ascii="Source Han Sans CN" w:eastAsia="Source Han Sans CN"/>
            <w:color w:val="0F5C5E"/>
            <w:u w:val="single"/>
            <w:sz w:val="16"/>
            <w:szCs w:val="16"/>
          </w:rPr>
          <w:t>全国标准信息公共服务平台：GB/T 45408-2025 生态环境大数据 数据分类与代码</w:t>
        </w:r>
      </w:hyperlink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020" w:right="1191" w:bottom="1020" w:left="1191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ource Han Sans CN" w:hAnsi="Source Han Sans CN" w:eastAsia="Source Han Sans CN" w:cs="Source Han Sans CN"/>
        <w:b w:val="0"/>
        <w:color w:val="5E6D78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Source Han Sans CN" w:hAnsi="Source Han Sans CN" w:eastAsia="Source Han Sans CN" w:cs="Source Han Sans CN"/>
        <w:b w:val="0"/>
        <w:color w:val="5E6D78"/>
        <w:sz w:val="16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urce Han Sans CN" w:hAnsi="Source Han Sans CN" w:eastAsia="Source Han Sans CN" w:cs="Source Han Sans CN"/>
        <w:b w:val="0"/>
        <w:color w:val="5E6D78"/>
        <w:sz w:val="16"/>
      </w:rPr>
      <w:t>SCOPE DRAFT  ·  2026-08-04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ource Han Sans CN" w:hAnsi="Source Han Sans CN" w:eastAsia="Source Han Sans CN" w:cs="Source Han Sans CN"/>
        <w:b w:val="0"/>
        <w:color w:val="5E6D78"/>
        <w:sz w:val="15"/>
      </w:rPr>
      <w:t>环保管家业务操作系统  /  产品定义与一期范围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Source Han Sans CN" w:hAnsi="Source Han Sans CN" w:eastAsia="Source Han Sans CN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0A41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Source Han Sans CN" w:hAnsi="Source Han Sans CN" w:eastAsia="Source Han Sans CN"/>
      <w:b/>
      <w:bCs/>
      <w:color w:val="0F5C5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opeBullet">
    <w:name w:val="Scope Bullet"/>
    <w:basedOn w:val="Normal"/>
    <w:pPr>
      <w:spacing w:after="60"/>
      <w:ind w:left="369" w:hanging="198"/>
    </w:pPr>
  </w:style>
  <w:style w:type="paragraph" w:customStyle="1" w:styleId="ScopeNumber">
    <w:name w:val="Scope Number"/>
    <w:basedOn w:val="Normal"/>
    <w:pPr>
      <w:spacing w:after="60"/>
      <w:ind w:left="408" w:hanging="283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www.pudong.gov.cn/zwgk/014020/2024/352/335111.html" TargetMode="External"/><Relationship Id="rId13" Type="http://schemas.openxmlformats.org/officeDocument/2006/relationships/hyperlink" Target="https://std.samr.gov.cn/db/search/stdDBDetailed?id=F221D3B48A35748EE05397BE0A0A460F" TargetMode="External"/><Relationship Id="rId14" Type="http://schemas.openxmlformats.org/officeDocument/2006/relationships/hyperlink" Target="https://www.jiangmen.gov.cn/jmstj/gkmlpt/content/2/2334/post_2334774.html" TargetMode="External"/><Relationship Id="rId15" Type="http://schemas.openxmlformats.org/officeDocument/2006/relationships/hyperlink" Target="https://sthj.sh.gov.cn/hbzhywpt2025/20231120/507dd4f9fdf045acb6ab5d44ab917eec.html" TargetMode="External"/><Relationship Id="rId16" Type="http://schemas.openxmlformats.org/officeDocument/2006/relationships/hyperlink" Target="https://www.mee.gov.cn/gzk/gz/202404/t20240408_1070147.shtml" TargetMode="External"/><Relationship Id="rId17" Type="http://schemas.openxmlformats.org/officeDocument/2006/relationships/hyperlink" Target="https://permit.mee.gov.cn/" TargetMode="External"/><Relationship Id="rId18" Type="http://schemas.openxmlformats.org/officeDocument/2006/relationships/hyperlink" Target="https://www.cac.gov.cn/2021-08/20/c_1631050028355286.htm" TargetMode="External"/><Relationship Id="rId19" Type="http://schemas.openxmlformats.org/officeDocument/2006/relationships/hyperlink" Target="https://app.www.gov.cn/govdata/gov/202409/30/520076/article.html" TargetMode="External"/><Relationship Id="rId20" Type="http://schemas.openxmlformats.org/officeDocument/2006/relationships/hyperlink" Target="https://www.mee.gov.cn/ywgz/sthjzf/zfzdyxzcf/202408/t20240808_1083614.shtml" TargetMode="External"/><Relationship Id="rId21" Type="http://schemas.openxmlformats.org/officeDocument/2006/relationships/hyperlink" Target="https://www.postgresql.org/docs/18/ddl-rowsecurity.html" TargetMode="External"/><Relationship Id="rId22" Type="http://schemas.openxmlformats.org/officeDocument/2006/relationships/hyperlink" Target="https://learn.microsoft.com/en-us/azure/ai-services/document-intelligence/prebuilt/layout?view=doc-intel-4.0.0" TargetMode="External"/><Relationship Id="rId23" Type="http://schemas.openxmlformats.org/officeDocument/2006/relationships/hyperlink" Target="https://www.elastic.co/docs/solutions/search/ranking" TargetMode="External"/><Relationship Id="rId24" Type="http://schemas.openxmlformats.org/officeDocument/2006/relationships/hyperlink" Target="https://learn.microsoft.com/en-us/azure/ai-services/document-intelligence/concept/accuracy-confidence?view=doc-intel-4.0.0" TargetMode="External"/><Relationship Id="rId25" Type="http://schemas.openxmlformats.org/officeDocument/2006/relationships/hyperlink" Target="https://www.shqp.gov.cn/shqp/zwgk/zxgk/20240722/1180103.html" TargetMode="External"/><Relationship Id="rId26" Type="http://schemas.openxmlformats.org/officeDocument/2006/relationships/hyperlink" Target="https://www.mee.gov.cn/gkml/hbb/bh/201708/t20170816_419759.htm" TargetMode="External"/><Relationship Id="rId27" Type="http://schemas.openxmlformats.org/officeDocument/2006/relationships/hyperlink" Target="https://www.mee.gov.cn/ywgz/fgbz/fl/202603/t20260313_1146496.shtml" TargetMode="External"/><Relationship Id="rId28" Type="http://schemas.openxmlformats.org/officeDocument/2006/relationships/hyperlink" Target="https://std.samr.gov.cn/gb/search/gbDetailed?id=14156507D2210337E06397BE0A0AE656" TargetMode="External"/><Relationship Id="rId29" Type="http://schemas.openxmlformats.org/officeDocument/2006/relationships/hyperlink" Target="https://www.mee.gov.cn/xxgk2018/xxgk/xxgk01/202502/t20250220_1102562.html" TargetMode="External"/><Relationship Id="rId30" Type="http://schemas.openxmlformats.org/officeDocument/2006/relationships/hyperlink" Target="https://openstd.samr.gov.cn/bzgk/std/newGbInfo?hcno=1765DAA060405134CFEB98E52270869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环保管家业务操作系统：产品定义与一期范围</dc:title>
  <dc:subject>多租户环保托管平台产品范围与一期开发基线</dc:subject>
  <dc:creator>Codex × 项目团队</dc:creator>
  <cp:keywords>环保管家, 一企一档, OCR, 多租户, 合规运营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